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D0D6" w14:textId="3B982CE6" w:rsidR="008529BF" w:rsidRDefault="24945CBC" w:rsidP="78A70151">
      <w:pPr>
        <w:spacing w:line="300" w:lineRule="auto"/>
        <w:jc w:val="center"/>
        <w:rPr>
          <w:rFonts w:asciiTheme="minorHAnsi" w:eastAsia="Calibri" w:hAnsiTheme="minorHAnsi" w:cstheme="minorBidi"/>
          <w:b/>
          <w:bCs/>
          <w:sz w:val="28"/>
          <w:szCs w:val="28"/>
        </w:rPr>
      </w:pPr>
      <w:bookmarkStart w:id="0" w:name="_GoBack"/>
      <w:bookmarkEnd w:id="0"/>
      <w:r w:rsidRPr="78A70151">
        <w:rPr>
          <w:rFonts w:asciiTheme="minorHAnsi" w:eastAsia="Calibri" w:hAnsiTheme="minorHAnsi" w:cstheme="minorBidi"/>
          <w:b/>
          <w:bCs/>
          <w:sz w:val="28"/>
          <w:szCs w:val="28"/>
        </w:rPr>
        <w:t>3</w:t>
      </w:r>
    </w:p>
    <w:p w14:paraId="6AA1EED5" w14:textId="77777777" w:rsidR="008529BF" w:rsidRDefault="008529BF" w:rsidP="00C91DB8">
      <w:pPr>
        <w:spacing w:line="300" w:lineRule="auto"/>
        <w:jc w:val="center"/>
        <w:rPr>
          <w:rFonts w:asciiTheme="minorHAnsi" w:eastAsia="Calibri" w:hAnsiTheme="minorHAnsi" w:cstheme="minorBidi"/>
          <w:b/>
          <w:bCs/>
          <w:sz w:val="28"/>
          <w:szCs w:val="28"/>
        </w:rPr>
      </w:pPr>
    </w:p>
    <w:p w14:paraId="3C463069" w14:textId="0921A41F" w:rsidR="00C91DB8" w:rsidRDefault="00C91DB8" w:rsidP="00C91DB8">
      <w:pPr>
        <w:spacing w:line="300" w:lineRule="auto"/>
        <w:jc w:val="center"/>
        <w:rPr>
          <w:rFonts w:asciiTheme="minorHAnsi" w:eastAsia="Calibri" w:hAnsiTheme="minorHAnsi" w:cstheme="minorBidi"/>
          <w:b/>
          <w:bCs/>
          <w:sz w:val="28"/>
          <w:szCs w:val="28"/>
        </w:rPr>
      </w:pPr>
      <w:r w:rsidRPr="1B4FA718">
        <w:rPr>
          <w:rFonts w:asciiTheme="minorHAnsi" w:eastAsia="Calibri" w:hAnsiTheme="minorHAnsi" w:cstheme="minorBidi"/>
          <w:b/>
          <w:bCs/>
          <w:sz w:val="28"/>
          <w:szCs w:val="28"/>
        </w:rPr>
        <w:t>Provincial Death Determination by Neurologic Criteria (DNC) Policy Template</w:t>
      </w:r>
    </w:p>
    <w:p w14:paraId="6BBBF619" w14:textId="77777777" w:rsidR="00C91DB8" w:rsidRPr="00C858CE" w:rsidRDefault="00C91DB8" w:rsidP="00C91DB8">
      <w:pPr>
        <w:spacing w:line="300" w:lineRule="auto"/>
        <w:jc w:val="center"/>
        <w:rPr>
          <w:rFonts w:asciiTheme="minorHAnsi" w:eastAsia="Calibri" w:hAnsiTheme="minorHAnsi" w:cstheme="minorHAnsi"/>
          <w:b/>
          <w:sz w:val="28"/>
        </w:rPr>
      </w:pPr>
      <w:r>
        <w:rPr>
          <w:rFonts w:asciiTheme="minorHAnsi" w:eastAsia="Calibri" w:hAnsiTheme="minorHAnsi" w:cstheme="minorHAnsi"/>
          <w:b/>
          <w:sz w:val="28"/>
        </w:rPr>
        <w:t>(Formerly known as the Neurological Determination of Death Policy)</w:t>
      </w:r>
    </w:p>
    <w:p w14:paraId="590D8E47" w14:textId="36762007" w:rsidR="00C91DB8" w:rsidRDefault="00C91DB8" w:rsidP="00C91DB8">
      <w:pPr>
        <w:jc w:val="center"/>
        <w:rPr>
          <w:rFonts w:eastAsia="Calibri"/>
          <w:lang w:val="en-US"/>
        </w:rPr>
      </w:pPr>
      <w:r w:rsidRPr="7AD4DB16">
        <w:rPr>
          <w:rFonts w:eastAsia="Calibri"/>
          <w:color w:val="242424"/>
          <w:lang w:val="en-US"/>
        </w:rPr>
        <w:t>Approved by Ontario Health (TGLN) Clinical Operations Committee May 2023</w:t>
      </w:r>
    </w:p>
    <w:p w14:paraId="020AEBDA" w14:textId="25367D6A" w:rsidR="00C91DB8" w:rsidRPr="00103EA1" w:rsidRDefault="00C91DB8" w:rsidP="00C91DB8">
      <w:pPr>
        <w:jc w:val="center"/>
        <w:rPr>
          <w:rFonts w:cstheme="minorBidi"/>
          <w:lang w:val="en-US"/>
        </w:rPr>
      </w:pPr>
      <w:r w:rsidRPr="20738756">
        <w:rPr>
          <w:rFonts w:cstheme="minorBidi"/>
          <w:lang w:val="en-US"/>
        </w:rPr>
        <w:t>Approv</w:t>
      </w:r>
      <w:r w:rsidR="00280533">
        <w:rPr>
          <w:rFonts w:cstheme="minorBidi"/>
          <w:lang w:val="en-US"/>
        </w:rPr>
        <w:t>ed</w:t>
      </w:r>
      <w:r w:rsidRPr="20738756">
        <w:rPr>
          <w:rFonts w:cstheme="minorBidi"/>
          <w:lang w:val="en-US"/>
        </w:rPr>
        <w:t xml:space="preserve"> by Provincial Donation Steering September 2023</w:t>
      </w:r>
    </w:p>
    <w:p w14:paraId="7806C131" w14:textId="77777777" w:rsidR="00C91DB8" w:rsidRPr="00FC21BB" w:rsidRDefault="00C91DB8" w:rsidP="00C91DB8">
      <w:pPr>
        <w:spacing w:line="300" w:lineRule="auto"/>
        <w:jc w:val="center"/>
        <w:rPr>
          <w:rFonts w:cstheme="minorHAnsi"/>
          <w:lang w:val="en-US"/>
        </w:rPr>
      </w:pPr>
      <w:r w:rsidRPr="00FC21BB">
        <w:rPr>
          <w:rFonts w:cstheme="minorHAnsi"/>
          <w:lang w:val="en-US"/>
        </w:rPr>
        <w:br w:type="page"/>
      </w:r>
    </w:p>
    <w:p w14:paraId="362E5B15" w14:textId="77777777" w:rsidR="00C91DB8" w:rsidRPr="00296312" w:rsidRDefault="00C91DB8" w:rsidP="00C91DB8">
      <w:pPr>
        <w:spacing w:line="300" w:lineRule="auto"/>
        <w:rPr>
          <w:b/>
          <w:sz w:val="28"/>
        </w:rPr>
      </w:pPr>
      <w:r w:rsidRPr="00296312">
        <w:rPr>
          <w:b/>
          <w:sz w:val="28"/>
        </w:rPr>
        <w:lastRenderedPageBreak/>
        <w:t>Policy:</w:t>
      </w:r>
    </w:p>
    <w:p w14:paraId="2B68FCC9"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rPr>
        <w:t xml:space="preserve">In keeping with </w:t>
      </w:r>
      <w:r>
        <w:rPr>
          <w:rFonts w:asciiTheme="minorHAnsi" w:hAnsiTheme="minorHAnsi" w:cstheme="minorHAnsi"/>
        </w:rPr>
        <w:t>high-</w:t>
      </w:r>
      <w:r w:rsidRPr="00C76FCB">
        <w:rPr>
          <w:rFonts w:asciiTheme="minorHAnsi" w:hAnsiTheme="minorHAnsi" w:cstheme="minorHAnsi"/>
        </w:rPr>
        <w:t xml:space="preserve">quality end-of-life care, every attempt should be made to </w:t>
      </w:r>
      <w:r>
        <w:rPr>
          <w:rFonts w:asciiTheme="minorHAnsi" w:hAnsiTheme="minorHAnsi" w:cstheme="minorHAnsi"/>
        </w:rPr>
        <w:t xml:space="preserve">assess for death determination by neurologic criteria (DNC) for </w:t>
      </w:r>
      <w:r w:rsidRPr="00C76FCB">
        <w:rPr>
          <w:rFonts w:asciiTheme="minorHAnsi" w:hAnsiTheme="minorHAnsi" w:cstheme="minorHAnsi"/>
        </w:rPr>
        <w:t xml:space="preserve">all patients who </w:t>
      </w:r>
      <w:r>
        <w:rPr>
          <w:rFonts w:asciiTheme="minorHAnsi" w:hAnsiTheme="minorHAnsi" w:cstheme="minorHAnsi"/>
        </w:rPr>
        <w:t xml:space="preserve">have an established cause of a brain injury severe enough to cause death.  DNC not only follows the standards for death determination in Canada, but it also provides families </w:t>
      </w:r>
      <w:r w:rsidRPr="00C76FCB">
        <w:rPr>
          <w:rFonts w:asciiTheme="minorHAnsi" w:hAnsiTheme="minorHAnsi" w:cstheme="minorHAnsi"/>
        </w:rPr>
        <w:t xml:space="preserve">with relevant information to assist in making end-of-life care decisions. </w:t>
      </w:r>
    </w:p>
    <w:p w14:paraId="75B681C9" w14:textId="77777777" w:rsidR="00C91DB8" w:rsidRPr="00C76FCB" w:rsidRDefault="00C91DB8" w:rsidP="00C91DB8">
      <w:pPr>
        <w:spacing w:line="300" w:lineRule="auto"/>
        <w:rPr>
          <w:rFonts w:asciiTheme="minorHAnsi" w:hAnsiTheme="minorHAnsi" w:cstheme="minorHAnsi"/>
          <w:i/>
        </w:rPr>
      </w:pPr>
      <w:r w:rsidRPr="00C76FCB">
        <w:rPr>
          <w:rFonts w:asciiTheme="minorHAnsi" w:hAnsiTheme="minorHAnsi" w:cstheme="minorHAnsi"/>
        </w:rPr>
        <w:t xml:space="preserve">Physicians </w:t>
      </w:r>
      <w:r>
        <w:rPr>
          <w:rFonts w:asciiTheme="minorHAnsi" w:hAnsiTheme="minorHAnsi" w:cstheme="minorHAnsi"/>
        </w:rPr>
        <w:t>performing clinical assessments for</w:t>
      </w:r>
      <w:r w:rsidRPr="00C76FCB">
        <w:rPr>
          <w:rFonts w:asciiTheme="minorHAnsi" w:hAnsiTheme="minorHAnsi" w:cstheme="minorHAnsi"/>
        </w:rPr>
        <w:t xml:space="preserve"> </w:t>
      </w:r>
      <w:r>
        <w:rPr>
          <w:rFonts w:asciiTheme="minorHAnsi" w:hAnsiTheme="minorHAnsi" w:cstheme="minorHAnsi"/>
        </w:rPr>
        <w:t>DNC</w:t>
      </w:r>
      <w:r w:rsidRPr="00C76FCB">
        <w:rPr>
          <w:rFonts w:asciiTheme="minorHAnsi" w:hAnsiTheme="minorHAnsi" w:cstheme="minorHAnsi"/>
        </w:rPr>
        <w:t xml:space="preserve"> must hold full and current licensure for independent (non-educational) medical practice in Ontario.  The physician</w:t>
      </w:r>
      <w:r>
        <w:rPr>
          <w:rFonts w:asciiTheme="minorHAnsi" w:hAnsiTheme="minorHAnsi" w:cstheme="minorHAnsi"/>
        </w:rPr>
        <w:t>s</w:t>
      </w:r>
      <w:r w:rsidRPr="00C76FCB">
        <w:rPr>
          <w:rFonts w:asciiTheme="minorHAnsi" w:hAnsiTheme="minorHAnsi" w:cstheme="minorHAnsi"/>
        </w:rPr>
        <w:t xml:space="preserve"> must have </w:t>
      </w:r>
      <w:r>
        <w:rPr>
          <w:rFonts w:asciiTheme="minorHAnsi" w:hAnsiTheme="minorHAnsi" w:cstheme="minorHAnsi"/>
        </w:rPr>
        <w:t>skills</w:t>
      </w:r>
      <w:r w:rsidRPr="00C76FCB">
        <w:rPr>
          <w:rFonts w:asciiTheme="minorHAnsi" w:hAnsiTheme="minorHAnsi" w:cstheme="minorHAnsi"/>
        </w:rPr>
        <w:t xml:space="preserve"> and knowledge in the management of patients with severe brain injury, as well as </w:t>
      </w:r>
      <w:r>
        <w:rPr>
          <w:rFonts w:asciiTheme="minorHAnsi" w:hAnsiTheme="minorHAnsi" w:cstheme="minorHAnsi"/>
        </w:rPr>
        <w:t xml:space="preserve">in DNC </w:t>
      </w:r>
      <w:r w:rsidRPr="00C76FCB">
        <w:rPr>
          <w:rFonts w:asciiTheme="minorHAnsi" w:hAnsiTheme="minorHAnsi" w:cstheme="minorHAnsi"/>
        </w:rPr>
        <w:t xml:space="preserve">for all relevant age groups within their care.  </w:t>
      </w:r>
    </w:p>
    <w:p w14:paraId="759DE2E5" w14:textId="77777777" w:rsidR="00C91DB8" w:rsidRDefault="00C91DB8" w:rsidP="00C91DB8">
      <w:pPr>
        <w:pStyle w:val="Header"/>
        <w:spacing w:line="300" w:lineRule="auto"/>
        <w:rPr>
          <w:rFonts w:asciiTheme="minorHAnsi" w:hAnsiTheme="minorHAnsi" w:cstheme="minorHAnsi"/>
        </w:rPr>
      </w:pPr>
      <w:r>
        <w:rPr>
          <w:rFonts w:asciiTheme="minorHAnsi" w:hAnsiTheme="minorHAnsi" w:cstheme="minorHAnsi"/>
        </w:rPr>
        <w:t>As per established clinical indicators/triggers, n</w:t>
      </w:r>
      <w:r w:rsidRPr="00E1579C">
        <w:rPr>
          <w:rFonts w:asciiTheme="minorHAnsi" w:hAnsiTheme="minorHAnsi" w:cstheme="minorHAnsi"/>
        </w:rPr>
        <w:t xml:space="preserve">otification to Ontario Health (Trillium Gift of Life Network [TGLN]) </w:t>
      </w:r>
      <w:r>
        <w:rPr>
          <w:rFonts w:asciiTheme="minorHAnsi" w:hAnsiTheme="minorHAnsi" w:cstheme="minorHAnsi"/>
        </w:rPr>
        <w:t xml:space="preserve">is to </w:t>
      </w:r>
      <w:r w:rsidRPr="00E1579C">
        <w:rPr>
          <w:rFonts w:asciiTheme="minorHAnsi" w:hAnsiTheme="minorHAnsi" w:cstheme="minorHAnsi"/>
        </w:rPr>
        <w:t xml:space="preserve">occur for any patient </w:t>
      </w:r>
      <w:r>
        <w:rPr>
          <w:rFonts w:asciiTheme="minorHAnsi" w:hAnsiTheme="minorHAnsi" w:cstheme="minorHAnsi"/>
        </w:rPr>
        <w:t xml:space="preserve">where DNC </w:t>
      </w:r>
      <w:r w:rsidRPr="00E1579C">
        <w:rPr>
          <w:rFonts w:asciiTheme="minorHAnsi" w:hAnsiTheme="minorHAnsi" w:cstheme="minorHAnsi"/>
        </w:rPr>
        <w:t>is suspecte</w:t>
      </w:r>
      <w:r>
        <w:rPr>
          <w:rFonts w:asciiTheme="minorHAnsi" w:hAnsiTheme="minorHAnsi" w:cstheme="minorHAnsi"/>
        </w:rPr>
        <w:t>d</w:t>
      </w:r>
      <w:r w:rsidRPr="00E1579C">
        <w:rPr>
          <w:rFonts w:asciiTheme="minorHAnsi" w:hAnsiTheme="minorHAnsi" w:cstheme="minorHAnsi"/>
        </w:rPr>
        <w:t xml:space="preserve">. </w:t>
      </w:r>
      <w:r>
        <w:rPr>
          <w:rFonts w:asciiTheme="minorHAnsi" w:hAnsiTheme="minorHAnsi" w:cstheme="minorHAnsi"/>
        </w:rPr>
        <w:t xml:space="preserve"> </w:t>
      </w:r>
      <w:r w:rsidRPr="00E1579C">
        <w:rPr>
          <w:rFonts w:asciiTheme="minorHAnsi" w:hAnsiTheme="minorHAnsi" w:cstheme="minorHAnsi"/>
        </w:rPr>
        <w:t xml:space="preserve">This </w:t>
      </w:r>
      <w:r>
        <w:rPr>
          <w:rFonts w:asciiTheme="minorHAnsi" w:hAnsiTheme="minorHAnsi" w:cstheme="minorHAnsi"/>
        </w:rPr>
        <w:t xml:space="preserve">notification is </w:t>
      </w:r>
      <w:r w:rsidRPr="00E1579C">
        <w:rPr>
          <w:rFonts w:asciiTheme="minorHAnsi" w:hAnsiTheme="minorHAnsi" w:cstheme="minorHAnsi"/>
        </w:rPr>
        <w:t xml:space="preserve">for the purpose of preliminary consultation to evaluate eligibility for </w:t>
      </w:r>
      <w:r>
        <w:rPr>
          <w:rFonts w:asciiTheme="minorHAnsi" w:hAnsiTheme="minorHAnsi" w:cstheme="minorHAnsi"/>
        </w:rPr>
        <w:t xml:space="preserve">organ </w:t>
      </w:r>
      <w:r w:rsidRPr="00E1579C">
        <w:rPr>
          <w:rFonts w:asciiTheme="minorHAnsi" w:hAnsiTheme="minorHAnsi" w:cstheme="minorHAnsi"/>
        </w:rPr>
        <w:t>donation</w:t>
      </w:r>
      <w:r>
        <w:rPr>
          <w:rFonts w:asciiTheme="minorHAnsi" w:hAnsiTheme="minorHAnsi" w:cstheme="minorHAnsi"/>
        </w:rPr>
        <w:t xml:space="preserve"> and for DNC assessment </w:t>
      </w:r>
      <w:r w:rsidRPr="00640AA0">
        <w:rPr>
          <w:rFonts w:asciiTheme="minorHAnsi" w:hAnsiTheme="minorHAnsi" w:cstheme="minorHAnsi"/>
        </w:rPr>
        <w:t>recommendations (such as the use of ancillary</w:t>
      </w:r>
      <w:r>
        <w:rPr>
          <w:rFonts w:asciiTheme="minorHAnsi" w:hAnsiTheme="minorHAnsi" w:cstheme="minorHAnsi"/>
        </w:rPr>
        <w:t xml:space="preserve"> tests</w:t>
      </w:r>
      <w:r w:rsidRPr="00640AA0">
        <w:rPr>
          <w:rFonts w:asciiTheme="minorHAnsi" w:hAnsiTheme="minorHAnsi" w:cstheme="minorHAnsi"/>
        </w:rPr>
        <w:t xml:space="preserve"> when in the presence of confounding conditions that cannot be resolved).</w:t>
      </w:r>
    </w:p>
    <w:p w14:paraId="4516542A" w14:textId="77777777" w:rsidR="00C91DB8" w:rsidRPr="00C76FCB" w:rsidRDefault="00C91DB8" w:rsidP="00C91DB8">
      <w:pPr>
        <w:pStyle w:val="Header"/>
        <w:spacing w:line="300" w:lineRule="auto"/>
        <w:rPr>
          <w:rFonts w:asciiTheme="minorHAnsi" w:hAnsiTheme="minorHAnsi" w:cstheme="minorHAnsi"/>
          <w:b/>
        </w:rPr>
      </w:pPr>
      <w:r w:rsidRPr="00B66142">
        <w:rPr>
          <w:rFonts w:asciiTheme="minorHAnsi" w:hAnsiTheme="minorHAnsi" w:cstheme="minorHAnsi"/>
        </w:rPr>
        <w:tab/>
      </w:r>
      <w:bookmarkStart w:id="1" w:name="_Hlk132007262"/>
      <w:r w:rsidRPr="00B66142">
        <w:rPr>
          <w:rFonts w:asciiTheme="minorHAnsi" w:hAnsiTheme="minorHAnsi" w:cstheme="minorHAnsi"/>
        </w:rPr>
        <w:t xml:space="preserve">If the potential for organ donation exists, a physician </w:t>
      </w:r>
      <w:r>
        <w:rPr>
          <w:rFonts w:asciiTheme="minorHAnsi" w:hAnsiTheme="minorHAnsi" w:cstheme="minorHAnsi"/>
        </w:rPr>
        <w:t xml:space="preserve">performing DNC </w:t>
      </w:r>
      <w:r w:rsidRPr="00B66142">
        <w:rPr>
          <w:rFonts w:asciiTheme="minorHAnsi" w:hAnsiTheme="minorHAnsi" w:cstheme="minorHAnsi"/>
        </w:rPr>
        <w:t xml:space="preserve">must not have any association or active involvement in transplant procedures, organ allocation, </w:t>
      </w:r>
      <w:r>
        <w:rPr>
          <w:rFonts w:asciiTheme="minorHAnsi" w:hAnsiTheme="minorHAnsi" w:cstheme="minorHAnsi"/>
        </w:rPr>
        <w:t xml:space="preserve">or </w:t>
      </w:r>
      <w:r w:rsidRPr="00B66142">
        <w:rPr>
          <w:rFonts w:asciiTheme="minorHAnsi" w:hAnsiTheme="minorHAnsi" w:cstheme="minorHAnsi"/>
        </w:rPr>
        <w:t>care of the intended transplant recipient</w:t>
      </w:r>
      <w:r>
        <w:rPr>
          <w:rFonts w:asciiTheme="minorHAnsi" w:hAnsiTheme="minorHAnsi" w:cstheme="minorHAnsi"/>
        </w:rPr>
        <w:t xml:space="preserve">.  The physician must also be cognizant of </w:t>
      </w:r>
      <w:r w:rsidRPr="00B66142">
        <w:rPr>
          <w:rFonts w:asciiTheme="minorHAnsi" w:hAnsiTheme="minorHAnsi" w:cstheme="minorHAnsi"/>
        </w:rPr>
        <w:t>factors that might influence the</w:t>
      </w:r>
      <w:r>
        <w:rPr>
          <w:rFonts w:asciiTheme="minorHAnsi" w:hAnsiTheme="minorHAnsi" w:cstheme="minorHAnsi"/>
        </w:rPr>
        <w:t>ir</w:t>
      </w:r>
      <w:r w:rsidRPr="00B66142">
        <w:rPr>
          <w:rFonts w:asciiTheme="minorHAnsi" w:hAnsiTheme="minorHAnsi" w:cstheme="minorHAnsi"/>
        </w:rPr>
        <w:t xml:space="preserve"> judgment when performing DNC</w:t>
      </w:r>
      <w:r>
        <w:rPr>
          <w:rFonts w:asciiTheme="minorHAnsi" w:hAnsiTheme="minorHAnsi" w:cstheme="minorHAnsi"/>
        </w:rPr>
        <w:t xml:space="preserve"> assessments</w:t>
      </w:r>
      <w:r w:rsidRPr="00B66142">
        <w:rPr>
          <w:rFonts w:asciiTheme="minorHAnsi" w:hAnsiTheme="minorHAnsi" w:cstheme="minorHAnsi"/>
        </w:rPr>
        <w:t xml:space="preserve">. </w:t>
      </w:r>
      <w:r w:rsidRPr="00C76FCB">
        <w:rPr>
          <w:rFonts w:asciiTheme="minorHAnsi" w:hAnsiTheme="minorHAnsi" w:cstheme="minorHAnsi"/>
        </w:rPr>
        <w:t xml:space="preserve"> </w:t>
      </w:r>
      <w:bookmarkEnd w:id="1"/>
    </w:p>
    <w:p w14:paraId="63A0879B" w14:textId="4BF62467" w:rsidR="00C91DB8" w:rsidRPr="008529BF" w:rsidRDefault="00C91DB8" w:rsidP="008529BF">
      <w:pPr>
        <w:spacing w:after="0" w:line="300" w:lineRule="auto"/>
      </w:pPr>
      <w:r w:rsidRPr="00296312">
        <w:rPr>
          <w:b/>
          <w:sz w:val="28"/>
        </w:rPr>
        <w:t>Definitions:</w:t>
      </w:r>
    </w:p>
    <w:p w14:paraId="207F22F9" w14:textId="77777777" w:rsidR="00C91DB8" w:rsidRPr="00C76FCB" w:rsidRDefault="00C91DB8" w:rsidP="00C91DB8">
      <w:pPr>
        <w:pStyle w:val="Header"/>
        <w:tabs>
          <w:tab w:val="clear" w:pos="4320"/>
          <w:tab w:val="clear" w:pos="8640"/>
        </w:tabs>
        <w:spacing w:line="300" w:lineRule="auto"/>
        <w:rPr>
          <w:rFonts w:asciiTheme="minorHAnsi" w:hAnsiTheme="minorHAnsi" w:cstheme="minorHAnsi"/>
          <w:b/>
        </w:rPr>
      </w:pPr>
      <w:r w:rsidRPr="00C76FCB">
        <w:rPr>
          <w:rFonts w:asciiTheme="minorHAnsi" w:hAnsiTheme="minorHAnsi" w:cstheme="minorHAnsi"/>
        </w:rPr>
        <w:t>For the purpose of this policy, the following definitions and terms will be applied:</w:t>
      </w:r>
    </w:p>
    <w:p w14:paraId="486D5FE1" w14:textId="77777777" w:rsidR="00C91DB8" w:rsidRPr="00C76FCB" w:rsidRDefault="00C91DB8" w:rsidP="00C91DB8">
      <w:pPr>
        <w:spacing w:line="300" w:lineRule="auto"/>
        <w:rPr>
          <w:rFonts w:asciiTheme="minorHAnsi" w:hAnsiTheme="minorHAnsi" w:cstheme="minorHAnsi"/>
          <w:b/>
          <w:bCs/>
        </w:rPr>
      </w:pPr>
      <w:r w:rsidRPr="00C76FCB">
        <w:rPr>
          <w:rFonts w:asciiTheme="minorHAnsi" w:hAnsiTheme="minorHAnsi" w:cstheme="minorHAnsi"/>
          <w:b/>
          <w:bCs/>
        </w:rPr>
        <w:t xml:space="preserve">Ancillary Test </w:t>
      </w:r>
      <w:r w:rsidRPr="00C76FCB">
        <w:rPr>
          <w:rFonts w:asciiTheme="minorHAnsi" w:hAnsiTheme="minorHAnsi" w:cstheme="minorHAnsi"/>
          <w:bCs/>
        </w:rPr>
        <w:t xml:space="preserve">refers to a </w:t>
      </w:r>
      <w:r>
        <w:rPr>
          <w:rFonts w:asciiTheme="minorHAnsi" w:hAnsiTheme="minorHAnsi" w:cstheme="minorHAnsi"/>
          <w:bCs/>
        </w:rPr>
        <w:t xml:space="preserve">test of brain blood flow and perfusion used to corroborate the clinical assessment of DNC that otherwise, for any reason, cannot be conducted or is unreliable.  For example, ancillary testing is required if confounding conditions cannot be resolved, or the full clinical assessment cannot be performed.  </w:t>
      </w:r>
      <w:r w:rsidRPr="001C530D">
        <w:rPr>
          <w:rFonts w:asciiTheme="minorHAnsi" w:hAnsiTheme="minorHAnsi" w:cstheme="minorHAnsi"/>
        </w:rPr>
        <w:t>Any ancillary test is considered supportive, not confirmatory</w:t>
      </w:r>
      <w:r>
        <w:rPr>
          <w:rFonts w:asciiTheme="minorHAnsi" w:hAnsiTheme="minorHAnsi" w:cstheme="minorHAnsi"/>
          <w:bCs/>
        </w:rPr>
        <w:t xml:space="preserve"> of </w:t>
      </w:r>
      <w:r>
        <w:rPr>
          <w:rFonts w:asciiTheme="minorHAnsi" w:hAnsiTheme="minorHAnsi" w:cstheme="minorHAnsi"/>
        </w:rPr>
        <w:t xml:space="preserve">DNC, and therefore </w:t>
      </w:r>
      <w:r w:rsidRPr="00C76FCB">
        <w:rPr>
          <w:rFonts w:asciiTheme="minorHAnsi" w:hAnsiTheme="minorHAnsi" w:cstheme="minorHAnsi"/>
        </w:rPr>
        <w:t xml:space="preserve">cannot be used </w:t>
      </w:r>
      <w:r>
        <w:rPr>
          <w:rFonts w:asciiTheme="minorHAnsi" w:hAnsiTheme="minorHAnsi" w:cstheme="minorHAnsi"/>
        </w:rPr>
        <w:t>independently</w:t>
      </w:r>
      <w:r w:rsidRPr="00C76FCB">
        <w:rPr>
          <w:rFonts w:asciiTheme="minorHAnsi" w:hAnsiTheme="minorHAnsi" w:cstheme="minorHAnsi"/>
        </w:rPr>
        <w:t xml:space="preserve"> to determine death. </w:t>
      </w:r>
    </w:p>
    <w:p w14:paraId="27042823"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b/>
        </w:rPr>
        <w:t>Computed Tomography</w:t>
      </w:r>
      <w:r>
        <w:rPr>
          <w:rFonts w:asciiTheme="minorHAnsi" w:hAnsiTheme="minorHAnsi" w:cstheme="minorHAnsi"/>
          <w:b/>
        </w:rPr>
        <w:t>-</w:t>
      </w:r>
      <w:r w:rsidRPr="00C76FCB">
        <w:rPr>
          <w:rFonts w:asciiTheme="minorHAnsi" w:hAnsiTheme="minorHAnsi" w:cstheme="minorHAnsi"/>
          <w:b/>
        </w:rPr>
        <w:t>Angiography</w:t>
      </w:r>
      <w:r w:rsidRPr="00C76FCB">
        <w:rPr>
          <w:rFonts w:asciiTheme="minorHAnsi" w:hAnsiTheme="minorHAnsi" w:cstheme="minorHAnsi"/>
        </w:rPr>
        <w:t xml:space="preserve"> or </w:t>
      </w:r>
      <w:r w:rsidRPr="00C76FCB">
        <w:rPr>
          <w:rFonts w:asciiTheme="minorHAnsi" w:hAnsiTheme="minorHAnsi" w:cstheme="minorHAnsi"/>
          <w:b/>
        </w:rPr>
        <w:t>CTA</w:t>
      </w:r>
      <w:r w:rsidRPr="00C76FCB">
        <w:rPr>
          <w:rFonts w:asciiTheme="minorHAnsi" w:hAnsiTheme="minorHAnsi" w:cstheme="minorHAnsi"/>
        </w:rPr>
        <w:t xml:space="preserve"> refers to the use of iodinated contrast given through intravenous bolus injection with the purpose to visualize cerebral vasculature.</w:t>
      </w:r>
    </w:p>
    <w:p w14:paraId="658481AE" w14:textId="77777777" w:rsidR="00C91DB8" w:rsidRPr="00CB4A72" w:rsidRDefault="00C91DB8" w:rsidP="00C91DB8">
      <w:pPr>
        <w:spacing w:line="300" w:lineRule="auto"/>
        <w:rPr>
          <w:rFonts w:asciiTheme="minorHAnsi" w:hAnsiTheme="minorHAnsi" w:cstheme="minorHAnsi"/>
        </w:rPr>
      </w:pPr>
      <w:r>
        <w:rPr>
          <w:rFonts w:asciiTheme="minorHAnsi" w:hAnsiTheme="minorHAnsi" w:cstheme="minorHAnsi"/>
          <w:b/>
        </w:rPr>
        <w:t>Computed Tomography-Perfusion</w:t>
      </w:r>
      <w:r>
        <w:rPr>
          <w:rFonts w:asciiTheme="minorHAnsi" w:hAnsiTheme="minorHAnsi" w:cstheme="minorHAnsi"/>
        </w:rPr>
        <w:t xml:space="preserve"> or </w:t>
      </w:r>
      <w:r>
        <w:rPr>
          <w:rFonts w:asciiTheme="minorHAnsi" w:hAnsiTheme="minorHAnsi" w:cstheme="minorHAnsi"/>
          <w:b/>
        </w:rPr>
        <w:t xml:space="preserve">CTP </w:t>
      </w:r>
      <w:r>
        <w:rPr>
          <w:rFonts w:asciiTheme="minorHAnsi" w:hAnsiTheme="minorHAnsi" w:cstheme="minorHAnsi"/>
        </w:rPr>
        <w:t>refers to an imaging procedure where, a</w:t>
      </w:r>
      <w:r w:rsidRPr="00112128">
        <w:rPr>
          <w:rFonts w:asciiTheme="minorHAnsi" w:hAnsiTheme="minorHAnsi" w:cstheme="minorHAnsi"/>
        </w:rPr>
        <w:t>fter a bolus of contrast, the brain is scanned quickly many times to determine how fast the contrast percolates through the brain tissue.  The slower the contrast travels, the more ischemic the brain tissue is.</w:t>
      </w:r>
    </w:p>
    <w:p w14:paraId="276FEE8B"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b/>
        </w:rPr>
        <w:lastRenderedPageBreak/>
        <w:t>Core Body Temperature</w:t>
      </w:r>
      <w:r w:rsidRPr="00C76FCB">
        <w:rPr>
          <w:rFonts w:asciiTheme="minorHAnsi" w:hAnsiTheme="minorHAnsi" w:cstheme="minorHAnsi"/>
        </w:rPr>
        <w:t xml:space="preserve"> refers to a body temperature measurement that is obtained through esophageal, rectal, bladder</w:t>
      </w:r>
      <w:r>
        <w:rPr>
          <w:rFonts w:asciiTheme="minorHAnsi" w:hAnsiTheme="minorHAnsi" w:cstheme="minorHAnsi"/>
        </w:rPr>
        <w:t>, or central venous, or arterial catheter</w:t>
      </w:r>
      <w:r w:rsidRPr="00C76FCB">
        <w:rPr>
          <w:rFonts w:asciiTheme="minorHAnsi" w:hAnsiTheme="minorHAnsi" w:cstheme="minorHAnsi"/>
        </w:rPr>
        <w:t xml:space="preserve"> monitoring. </w:t>
      </w:r>
    </w:p>
    <w:p w14:paraId="0C1F076B" w14:textId="77777777" w:rsidR="00C91DB8" w:rsidRPr="00C76FCB" w:rsidRDefault="00C91DB8" w:rsidP="00C91DB8">
      <w:pPr>
        <w:spacing w:line="300" w:lineRule="auto"/>
        <w:rPr>
          <w:rFonts w:asciiTheme="minorHAnsi" w:hAnsiTheme="minorHAnsi" w:cstheme="minorHAnsi"/>
        </w:rPr>
      </w:pPr>
      <w:r>
        <w:rPr>
          <w:rFonts w:asciiTheme="minorHAnsi" w:hAnsiTheme="minorHAnsi" w:cstheme="minorHAnsi"/>
          <w:b/>
        </w:rPr>
        <w:t>Death Determination by Neurologic Criteria (DNC)</w:t>
      </w:r>
      <w:r w:rsidRPr="00C76FCB">
        <w:rPr>
          <w:rFonts w:asciiTheme="minorHAnsi" w:hAnsiTheme="minorHAnsi" w:cstheme="minorHAnsi"/>
        </w:rPr>
        <w:t xml:space="preserve"> refers to the process and procedure for determining</w:t>
      </w:r>
      <w:r>
        <w:rPr>
          <w:rFonts w:asciiTheme="minorHAnsi" w:hAnsiTheme="minorHAnsi" w:cstheme="minorHAnsi"/>
        </w:rPr>
        <w:t xml:space="preserve"> the death of an individual</w:t>
      </w:r>
      <w:r w:rsidRPr="00C76FCB">
        <w:rPr>
          <w:rFonts w:asciiTheme="minorHAnsi" w:hAnsiTheme="minorHAnsi" w:cstheme="minorHAnsi"/>
        </w:rPr>
        <w:t xml:space="preserve"> based on </w:t>
      </w:r>
      <w:r>
        <w:rPr>
          <w:rFonts w:asciiTheme="minorHAnsi" w:hAnsiTheme="minorHAnsi" w:cstheme="minorHAnsi"/>
        </w:rPr>
        <w:t>neurologic</w:t>
      </w:r>
      <w:r w:rsidRPr="00C76FCB">
        <w:rPr>
          <w:rFonts w:asciiTheme="minorHAnsi" w:hAnsiTheme="minorHAnsi" w:cstheme="minorHAnsi"/>
        </w:rPr>
        <w:t xml:space="preserve"> criteria.</w:t>
      </w:r>
    </w:p>
    <w:p w14:paraId="1D6C3AD6"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b/>
        </w:rPr>
        <w:t>Donation Support Physician</w:t>
      </w:r>
      <w:r w:rsidRPr="00C76FCB">
        <w:rPr>
          <w:rFonts w:asciiTheme="minorHAnsi" w:hAnsiTheme="minorHAnsi" w:cstheme="minorHAnsi"/>
        </w:rPr>
        <w:t xml:space="preserve"> refers to an Ontario Health</w:t>
      </w:r>
      <w:r>
        <w:rPr>
          <w:rFonts w:asciiTheme="minorHAnsi" w:hAnsiTheme="minorHAnsi" w:cstheme="minorHAnsi"/>
        </w:rPr>
        <w:t xml:space="preserve"> </w:t>
      </w:r>
      <w:r w:rsidRPr="00C76FCB">
        <w:rPr>
          <w:rFonts w:asciiTheme="minorHAnsi" w:hAnsiTheme="minorHAnsi" w:cstheme="minorHAnsi"/>
        </w:rPr>
        <w:t>(Trillium Gift of Life Network [TGLN]) affiliated physician available 24/7 to support health care team members, in particular, the most responsible physician (MRP)</w:t>
      </w:r>
      <w:r>
        <w:rPr>
          <w:rFonts w:asciiTheme="minorHAnsi" w:hAnsiTheme="minorHAnsi" w:cstheme="minorHAnsi"/>
        </w:rPr>
        <w:t>,</w:t>
      </w:r>
      <w:r w:rsidRPr="00C76FCB">
        <w:rPr>
          <w:rFonts w:asciiTheme="minorHAnsi" w:hAnsiTheme="minorHAnsi" w:cstheme="minorHAnsi"/>
        </w:rPr>
        <w:t xml:space="preserve"> with advice on leading practices in donation.</w:t>
      </w:r>
    </w:p>
    <w:p w14:paraId="5C19E89A" w14:textId="77777777" w:rsidR="00C91DB8" w:rsidRPr="00C76FCB" w:rsidDel="00C6572E" w:rsidRDefault="00C91DB8" w:rsidP="00C91DB8">
      <w:pPr>
        <w:spacing w:line="300" w:lineRule="auto"/>
        <w:rPr>
          <w:rFonts w:asciiTheme="minorHAnsi" w:hAnsiTheme="minorHAnsi" w:cstheme="minorHAnsi"/>
        </w:rPr>
      </w:pPr>
      <w:r w:rsidRPr="00C76FCB" w:rsidDel="00C6572E">
        <w:rPr>
          <w:rFonts w:asciiTheme="minorHAnsi" w:hAnsiTheme="minorHAnsi" w:cstheme="minorHAnsi"/>
          <w:b/>
        </w:rPr>
        <w:t>Hospital</w:t>
      </w:r>
      <w:r w:rsidRPr="00C76FCB" w:rsidDel="00C6572E">
        <w:rPr>
          <w:rFonts w:asciiTheme="minorHAnsi" w:hAnsiTheme="minorHAnsi" w:cstheme="minorHAnsi"/>
        </w:rPr>
        <w:t xml:space="preserve"> refers to (Insert Hospital Name).</w:t>
      </w:r>
    </w:p>
    <w:p w14:paraId="68FD3303"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b/>
        </w:rPr>
        <w:t>Patient(s)</w:t>
      </w:r>
      <w:r w:rsidRPr="00C76FCB">
        <w:rPr>
          <w:rFonts w:asciiTheme="minorHAnsi" w:hAnsiTheme="minorHAnsi" w:cstheme="minorHAnsi"/>
        </w:rPr>
        <w:t xml:space="preserve"> refers to any person under the care of (Insert Hospital Name).</w:t>
      </w:r>
    </w:p>
    <w:p w14:paraId="549AD67A"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b/>
        </w:rPr>
        <w:t xml:space="preserve">Radionucleotide </w:t>
      </w:r>
      <w:r>
        <w:rPr>
          <w:rFonts w:asciiTheme="minorHAnsi" w:hAnsiTheme="minorHAnsi" w:cstheme="minorHAnsi"/>
          <w:b/>
        </w:rPr>
        <w:t xml:space="preserve">Brain Perfusion Study </w:t>
      </w:r>
      <w:r w:rsidRPr="00C76FCB">
        <w:rPr>
          <w:rFonts w:asciiTheme="minorHAnsi" w:hAnsiTheme="minorHAnsi" w:cstheme="minorHAnsi"/>
        </w:rPr>
        <w:t xml:space="preserve">sometimes known as Cerebral Perfusion Scan; refers to a scan of the brain that is performed utilizing a radioactive isotope to determine brain blood flow, or lack of brain blood flow, to the cerebral hemispheres. </w:t>
      </w:r>
    </w:p>
    <w:p w14:paraId="3811F625" w14:textId="3C196092" w:rsidR="00C91DB8" w:rsidRPr="008529BF" w:rsidRDefault="00C91DB8" w:rsidP="00C91DB8">
      <w:pPr>
        <w:spacing w:line="300" w:lineRule="auto"/>
        <w:rPr>
          <w:rFonts w:asciiTheme="minorHAnsi" w:hAnsiTheme="minorHAnsi" w:cstheme="minorHAnsi"/>
        </w:rPr>
      </w:pPr>
      <w:r w:rsidRPr="00F3267D">
        <w:rPr>
          <w:rFonts w:asciiTheme="minorHAnsi" w:hAnsiTheme="minorHAnsi" w:cstheme="minorHAnsi"/>
          <w:b/>
        </w:rPr>
        <w:t>Transcranial Doppler</w:t>
      </w:r>
      <w:r>
        <w:rPr>
          <w:rFonts w:asciiTheme="minorHAnsi" w:hAnsiTheme="minorHAnsi" w:cstheme="minorHAnsi"/>
        </w:rPr>
        <w:t xml:space="preserve"> </w:t>
      </w:r>
      <w:r w:rsidRPr="0082401F">
        <w:rPr>
          <w:rFonts w:asciiTheme="minorHAnsi" w:hAnsiTheme="minorHAnsi" w:cstheme="minorHAnsi"/>
        </w:rPr>
        <w:t xml:space="preserve">refers to a type of ultrasonography that </w:t>
      </w:r>
      <w:r w:rsidRPr="0082401F">
        <w:rPr>
          <w:rFonts w:asciiTheme="minorHAnsi" w:hAnsiTheme="minorHAnsi" w:cstheme="minorHAnsi"/>
          <w:color w:val="000000"/>
        </w:rPr>
        <w:t xml:space="preserve">is used to measure blood flow in the brain. </w:t>
      </w:r>
    </w:p>
    <w:p w14:paraId="241CB0B3" w14:textId="77777777" w:rsidR="00C91DB8" w:rsidRDefault="00C91DB8" w:rsidP="00C91DB8">
      <w:pPr>
        <w:spacing w:line="300" w:lineRule="auto"/>
        <w:rPr>
          <w:sz w:val="28"/>
        </w:rPr>
      </w:pPr>
      <w:r w:rsidRPr="00296312">
        <w:rPr>
          <w:b/>
          <w:sz w:val="28"/>
        </w:rPr>
        <w:t>Process</w:t>
      </w:r>
      <w:r w:rsidRPr="00296312">
        <w:rPr>
          <w:sz w:val="28"/>
        </w:rPr>
        <w:t>:</w:t>
      </w:r>
    </w:p>
    <w:p w14:paraId="7BB392E6" w14:textId="77777777" w:rsidR="00C91DB8" w:rsidRPr="00237807" w:rsidRDefault="00C91DB8" w:rsidP="00C91DB8">
      <w:pPr>
        <w:pStyle w:val="ListParagraph"/>
        <w:numPr>
          <w:ilvl w:val="0"/>
          <w:numId w:val="23"/>
        </w:numPr>
        <w:suppressAutoHyphens w:val="0"/>
        <w:spacing w:line="300" w:lineRule="auto"/>
        <w:ind w:left="360"/>
        <w:contextualSpacing w:val="0"/>
        <w:textAlignment w:val="auto"/>
        <w:rPr>
          <w:rFonts w:asciiTheme="minorHAnsi" w:hAnsiTheme="minorHAnsi" w:cstheme="minorHAnsi"/>
          <w:b/>
        </w:rPr>
      </w:pPr>
      <w:r w:rsidRPr="00237807">
        <w:rPr>
          <w:rFonts w:asciiTheme="minorHAnsi" w:hAnsiTheme="minorHAnsi" w:cstheme="minorHAnsi"/>
          <w:b/>
        </w:rPr>
        <w:t>Death Determination by Neurologic Criteria (DNC)</w:t>
      </w:r>
    </w:p>
    <w:p w14:paraId="33177386" w14:textId="77777777" w:rsidR="00C91DB8" w:rsidRPr="00C76FCB" w:rsidRDefault="00C91DB8" w:rsidP="00C91DB8">
      <w:pPr>
        <w:spacing w:line="300" w:lineRule="auto"/>
        <w:rPr>
          <w:rFonts w:asciiTheme="minorHAnsi" w:hAnsiTheme="minorHAnsi" w:cstheme="minorHAnsi"/>
          <w:b/>
          <w:i/>
        </w:rPr>
      </w:pPr>
      <w:r w:rsidRPr="00C76FCB">
        <w:rPr>
          <w:rFonts w:asciiTheme="minorHAnsi" w:hAnsiTheme="minorHAnsi" w:cstheme="minorHAnsi"/>
          <w:b/>
          <w:i/>
        </w:rPr>
        <w:t>General</w:t>
      </w:r>
    </w:p>
    <w:p w14:paraId="25B799CC" w14:textId="77777777" w:rsidR="00C91DB8" w:rsidRDefault="00C91DB8" w:rsidP="00C91DB8">
      <w:pPr>
        <w:numPr>
          <w:ilvl w:val="1"/>
          <w:numId w:val="19"/>
        </w:numPr>
        <w:suppressAutoHyphens w:val="0"/>
        <w:spacing w:after="0" w:line="300" w:lineRule="auto"/>
        <w:ind w:left="1440" w:hanging="720"/>
        <w:textAlignment w:val="auto"/>
        <w:rPr>
          <w:rFonts w:asciiTheme="minorHAnsi" w:hAnsiTheme="minorHAnsi" w:cstheme="minorHAnsi"/>
        </w:rPr>
      </w:pPr>
      <w:r>
        <w:rPr>
          <w:rFonts w:asciiTheme="minorHAnsi" w:hAnsiTheme="minorHAnsi" w:cstheme="minorHAnsi"/>
        </w:rPr>
        <w:t xml:space="preserve">DNC is primarily a clinical assessment that requires all three of the following: </w:t>
      </w:r>
    </w:p>
    <w:p w14:paraId="0F93F0D8" w14:textId="77777777" w:rsidR="00C91DB8" w:rsidRDefault="00C91DB8" w:rsidP="00C91DB8">
      <w:pPr>
        <w:numPr>
          <w:ilvl w:val="2"/>
          <w:numId w:val="19"/>
        </w:numPr>
        <w:suppressAutoHyphens w:val="0"/>
        <w:spacing w:after="0" w:line="300" w:lineRule="auto"/>
        <w:textAlignment w:val="auto"/>
        <w:rPr>
          <w:rFonts w:asciiTheme="minorHAnsi" w:hAnsiTheme="minorHAnsi" w:cstheme="minorHAnsi"/>
        </w:rPr>
      </w:pPr>
      <w:r>
        <w:rPr>
          <w:rFonts w:asciiTheme="minorHAnsi" w:hAnsiTheme="minorHAnsi" w:cstheme="minorHAnsi"/>
        </w:rPr>
        <w:t>Absence of consciousness demonstrated by a lack of arousal and awareness in response to external stimuli; and</w:t>
      </w:r>
    </w:p>
    <w:p w14:paraId="398B37C1" w14:textId="77777777" w:rsidR="00C91DB8" w:rsidRDefault="00C91DB8" w:rsidP="00C91DB8">
      <w:pPr>
        <w:numPr>
          <w:ilvl w:val="2"/>
          <w:numId w:val="19"/>
        </w:numPr>
        <w:suppressAutoHyphens w:val="0"/>
        <w:spacing w:after="0" w:line="300" w:lineRule="auto"/>
        <w:textAlignment w:val="auto"/>
        <w:rPr>
          <w:rFonts w:asciiTheme="minorHAnsi" w:hAnsiTheme="minorHAnsi" w:cstheme="minorHAnsi"/>
        </w:rPr>
      </w:pPr>
      <w:r>
        <w:rPr>
          <w:rFonts w:asciiTheme="minorHAnsi" w:hAnsiTheme="minorHAnsi" w:cstheme="minorHAnsi"/>
        </w:rPr>
        <w:t>Absence of brainstem function as demonstrated by cranial nerve testing; and</w:t>
      </w:r>
    </w:p>
    <w:p w14:paraId="2CE6C42D" w14:textId="77777777" w:rsidR="00C91DB8" w:rsidRDefault="00C91DB8" w:rsidP="00C91DB8">
      <w:pPr>
        <w:numPr>
          <w:ilvl w:val="2"/>
          <w:numId w:val="19"/>
        </w:numPr>
        <w:suppressAutoHyphens w:val="0"/>
        <w:spacing w:line="300" w:lineRule="auto"/>
        <w:textAlignment w:val="auto"/>
        <w:rPr>
          <w:rFonts w:asciiTheme="minorHAnsi" w:hAnsiTheme="minorHAnsi" w:cstheme="minorHAnsi"/>
        </w:rPr>
      </w:pPr>
      <w:r>
        <w:rPr>
          <w:rFonts w:asciiTheme="minorHAnsi" w:hAnsiTheme="minorHAnsi" w:cstheme="minorHAnsi"/>
        </w:rPr>
        <w:t>Absence of the capacity to breathe demonstrated by formal apnea testing.</w:t>
      </w:r>
    </w:p>
    <w:p w14:paraId="2C00BCC1" w14:textId="77777777" w:rsidR="00C91DB8" w:rsidRPr="00C76FCB"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Pr>
          <w:rFonts w:asciiTheme="minorHAnsi" w:hAnsiTheme="minorHAnsi" w:cstheme="minorHAnsi"/>
        </w:rPr>
        <w:t>DNC</w:t>
      </w:r>
      <w:r w:rsidRPr="00C76FCB">
        <w:rPr>
          <w:rFonts w:asciiTheme="minorHAnsi" w:hAnsiTheme="minorHAnsi" w:cstheme="minorHAnsi"/>
        </w:rPr>
        <w:t xml:space="preserve"> must be performed by a physician who holds licensure to practice medicine independently </w:t>
      </w:r>
      <w:r>
        <w:rPr>
          <w:rFonts w:asciiTheme="minorHAnsi" w:hAnsiTheme="minorHAnsi" w:cstheme="minorHAnsi"/>
        </w:rPr>
        <w:t xml:space="preserve">(non-educational) </w:t>
      </w:r>
      <w:r w:rsidRPr="00C76FCB">
        <w:rPr>
          <w:rFonts w:asciiTheme="minorHAnsi" w:hAnsiTheme="minorHAnsi" w:cstheme="minorHAnsi"/>
        </w:rPr>
        <w:t xml:space="preserve">in the Province of Ontario. </w:t>
      </w:r>
    </w:p>
    <w:p w14:paraId="3355F9C0" w14:textId="77777777" w:rsidR="00C91DB8" w:rsidRDefault="00C91DB8" w:rsidP="00C91DB8">
      <w:pPr>
        <w:numPr>
          <w:ilvl w:val="1"/>
          <w:numId w:val="19"/>
        </w:numPr>
        <w:suppressAutoHyphens w:val="0"/>
        <w:spacing w:after="0" w:line="300" w:lineRule="auto"/>
        <w:ind w:left="1440" w:hanging="720"/>
        <w:textAlignment w:val="auto"/>
        <w:rPr>
          <w:rFonts w:asciiTheme="minorHAnsi" w:hAnsiTheme="minorHAnsi" w:cstheme="minorHAnsi"/>
        </w:rPr>
      </w:pPr>
      <w:r>
        <w:rPr>
          <w:rFonts w:asciiTheme="minorHAnsi" w:hAnsiTheme="minorHAnsi" w:cstheme="minorHAnsi"/>
        </w:rPr>
        <w:t>For legal determination of death:</w:t>
      </w:r>
    </w:p>
    <w:p w14:paraId="045B1917" w14:textId="77777777" w:rsidR="00C91DB8" w:rsidRDefault="00C91DB8" w:rsidP="00C91DB8">
      <w:pPr>
        <w:pStyle w:val="ListParagraph"/>
        <w:numPr>
          <w:ilvl w:val="0"/>
          <w:numId w:val="31"/>
        </w:numPr>
        <w:suppressAutoHyphens w:val="0"/>
        <w:spacing w:line="300" w:lineRule="auto"/>
        <w:textAlignment w:val="auto"/>
        <w:rPr>
          <w:rFonts w:asciiTheme="minorHAnsi" w:hAnsiTheme="minorHAnsi" w:cstheme="minorHAnsi"/>
        </w:rPr>
      </w:pPr>
      <w:r>
        <w:rPr>
          <w:rFonts w:asciiTheme="minorHAnsi" w:hAnsiTheme="minorHAnsi" w:cstheme="minorHAnsi"/>
        </w:rPr>
        <w:t>F</w:t>
      </w:r>
      <w:r w:rsidRPr="00B974AF">
        <w:rPr>
          <w:rFonts w:asciiTheme="minorHAnsi" w:hAnsiTheme="minorHAnsi" w:cstheme="minorHAnsi"/>
        </w:rPr>
        <w:t>or patients greater than or equal to one year of age</w:t>
      </w:r>
      <w:r>
        <w:rPr>
          <w:rFonts w:asciiTheme="minorHAnsi" w:hAnsiTheme="minorHAnsi" w:cstheme="minorHAnsi"/>
        </w:rPr>
        <w:t>, o</w:t>
      </w:r>
      <w:r w:rsidRPr="00F247F0">
        <w:rPr>
          <w:rFonts w:asciiTheme="minorHAnsi" w:hAnsiTheme="minorHAnsi" w:cstheme="minorHAnsi"/>
        </w:rPr>
        <w:t>ne complete DNC clinical assessment is sufficient</w:t>
      </w:r>
      <w:r>
        <w:rPr>
          <w:rFonts w:asciiTheme="minorHAnsi" w:hAnsiTheme="minorHAnsi" w:cstheme="minorHAnsi"/>
        </w:rPr>
        <w:t>.</w:t>
      </w:r>
    </w:p>
    <w:p w14:paraId="35DE2EC5" w14:textId="77777777" w:rsidR="00C91DB8" w:rsidRDefault="00C91DB8" w:rsidP="00C91DB8">
      <w:pPr>
        <w:pStyle w:val="ListParagraph"/>
        <w:numPr>
          <w:ilvl w:val="0"/>
          <w:numId w:val="31"/>
        </w:numPr>
        <w:suppressAutoHyphens w:val="0"/>
        <w:spacing w:line="300" w:lineRule="auto"/>
        <w:textAlignment w:val="auto"/>
        <w:rPr>
          <w:rFonts w:asciiTheme="minorHAnsi" w:hAnsiTheme="minorHAnsi" w:cstheme="minorHAnsi"/>
        </w:rPr>
      </w:pPr>
      <w:r w:rsidRPr="00B974AF">
        <w:rPr>
          <w:rFonts w:asciiTheme="minorHAnsi" w:hAnsiTheme="minorHAnsi" w:cstheme="minorHAnsi"/>
        </w:rPr>
        <w:t>For patients less than one year corrected gestational age, two complete DNC clinical assessments separated in time are require</w:t>
      </w:r>
      <w:r>
        <w:rPr>
          <w:rFonts w:asciiTheme="minorHAnsi" w:hAnsiTheme="minorHAnsi" w:cstheme="minorHAnsi"/>
        </w:rPr>
        <w:t>d.</w:t>
      </w:r>
    </w:p>
    <w:p w14:paraId="27B503E0" w14:textId="77777777" w:rsidR="00C91DB8" w:rsidRDefault="00C91DB8" w:rsidP="00C91DB8">
      <w:pPr>
        <w:pStyle w:val="ListParagraph"/>
        <w:spacing w:line="300" w:lineRule="auto"/>
        <w:ind w:left="1440"/>
        <w:rPr>
          <w:rFonts w:asciiTheme="minorHAnsi" w:hAnsiTheme="minorHAnsi" w:cstheme="minorHAnsi"/>
        </w:rPr>
      </w:pPr>
    </w:p>
    <w:p w14:paraId="666266B7" w14:textId="77777777" w:rsidR="00C91DB8" w:rsidRDefault="00C91DB8" w:rsidP="00C91DB8">
      <w:pPr>
        <w:pStyle w:val="ListParagraph"/>
        <w:spacing w:line="300" w:lineRule="auto"/>
        <w:ind w:left="1440"/>
        <w:rPr>
          <w:rFonts w:asciiTheme="minorHAnsi" w:hAnsiTheme="minorHAnsi" w:cstheme="minorHAnsi"/>
        </w:rPr>
      </w:pPr>
      <w:r w:rsidRPr="00B974AF">
        <w:rPr>
          <w:rFonts w:asciiTheme="minorHAnsi" w:hAnsiTheme="minorHAnsi" w:cstheme="minorHAnsi"/>
        </w:rPr>
        <w:t>For the purposes of organ donation</w:t>
      </w:r>
      <w:r>
        <w:rPr>
          <w:rFonts w:asciiTheme="minorHAnsi" w:hAnsiTheme="minorHAnsi" w:cstheme="minorHAnsi"/>
        </w:rPr>
        <w:t>:</w:t>
      </w:r>
    </w:p>
    <w:p w14:paraId="680B591D" w14:textId="77777777" w:rsidR="00C91DB8" w:rsidRPr="00B974AF" w:rsidRDefault="00C91DB8" w:rsidP="00C91DB8">
      <w:pPr>
        <w:pStyle w:val="ListParagraph"/>
        <w:numPr>
          <w:ilvl w:val="0"/>
          <w:numId w:val="31"/>
        </w:numPr>
        <w:suppressAutoHyphens w:val="0"/>
        <w:spacing w:line="300" w:lineRule="auto"/>
        <w:textAlignment w:val="auto"/>
        <w:rPr>
          <w:rFonts w:asciiTheme="minorHAnsi" w:hAnsiTheme="minorHAnsi" w:cstheme="minorHAnsi"/>
        </w:rPr>
      </w:pPr>
      <w:r>
        <w:rPr>
          <w:rFonts w:asciiTheme="minorHAnsi" w:hAnsiTheme="minorHAnsi" w:cstheme="minorHAnsi"/>
        </w:rPr>
        <w:t xml:space="preserve">In keeping with the </w:t>
      </w:r>
      <w:r>
        <w:rPr>
          <w:rFonts w:asciiTheme="minorHAnsi" w:hAnsiTheme="minorHAnsi" w:cstheme="minorHAnsi"/>
          <w:i/>
        </w:rPr>
        <w:t>Gift of Life Act</w:t>
      </w:r>
      <w:r>
        <w:rPr>
          <w:rFonts w:asciiTheme="minorHAnsi" w:hAnsiTheme="minorHAnsi" w:cstheme="minorHAnsi"/>
        </w:rPr>
        <w:t>, t</w:t>
      </w:r>
      <w:r w:rsidRPr="00B974AF">
        <w:rPr>
          <w:rFonts w:asciiTheme="minorHAnsi" w:hAnsiTheme="minorHAnsi" w:cstheme="minorHAnsi"/>
        </w:rPr>
        <w:t>wo full DNC clinical assessments must be performed for all patients</w:t>
      </w:r>
      <w:r>
        <w:rPr>
          <w:rFonts w:asciiTheme="minorHAnsi" w:hAnsiTheme="minorHAnsi" w:cstheme="minorHAnsi"/>
        </w:rPr>
        <w:t>,</w:t>
      </w:r>
      <w:r w:rsidRPr="00B974AF">
        <w:rPr>
          <w:rFonts w:asciiTheme="minorHAnsi" w:hAnsiTheme="minorHAnsi" w:cstheme="minorHAnsi"/>
        </w:rPr>
        <w:t xml:space="preserve"> regardless of age. </w:t>
      </w:r>
    </w:p>
    <w:p w14:paraId="16669730" w14:textId="77777777" w:rsidR="00C91DB8" w:rsidRDefault="00C91DB8" w:rsidP="00C91DB8">
      <w:pPr>
        <w:spacing w:line="300" w:lineRule="auto"/>
        <w:ind w:left="1440"/>
        <w:rPr>
          <w:rFonts w:asciiTheme="minorHAnsi" w:hAnsiTheme="minorHAnsi" w:cstheme="minorHAnsi"/>
        </w:rPr>
      </w:pPr>
      <w:r w:rsidRPr="00B974AF">
        <w:rPr>
          <w:rFonts w:asciiTheme="minorHAnsi" w:hAnsiTheme="minorHAnsi" w:cstheme="minorHAnsi"/>
          <w:b/>
        </w:rPr>
        <w:t>Note:</w:t>
      </w:r>
      <w:r>
        <w:rPr>
          <w:rFonts w:asciiTheme="minorHAnsi" w:hAnsiTheme="minorHAnsi" w:cstheme="minorHAnsi"/>
        </w:rPr>
        <w:t xml:space="preserve"> If two assessments for DNC are performed at different points in time, each physician must perform the entire DNC clinical assessment, including the apnea test.</w:t>
      </w:r>
    </w:p>
    <w:p w14:paraId="78C2C442"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112128">
        <w:t xml:space="preserve">Prior to the clinical </w:t>
      </w:r>
      <w:r>
        <w:t>assessment</w:t>
      </w:r>
      <w:r w:rsidRPr="00112128">
        <w:t xml:space="preserve"> for DNC, the MRP should jointly complete the </w:t>
      </w:r>
      <w:r w:rsidRPr="00112128">
        <w:rPr>
          <w:i/>
        </w:rPr>
        <w:t>Death Determination by Neurologic Criteria Confounding Factors Checklist</w:t>
      </w:r>
      <w:r w:rsidRPr="00112128">
        <w:t xml:space="preserve"> with the Ontario Health (TGLN) Coordinator.  </w:t>
      </w:r>
      <w:r w:rsidRPr="00EE71E2">
        <w:rPr>
          <w:rFonts w:asciiTheme="minorHAnsi" w:hAnsiTheme="minorHAnsi" w:cstheme="minorHAnsi"/>
        </w:rPr>
        <w:t xml:space="preserve"> </w:t>
      </w:r>
    </w:p>
    <w:p w14:paraId="62EFFE2D" w14:textId="77777777" w:rsidR="00C91DB8" w:rsidRPr="00EE71E2"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EE71E2">
        <w:rPr>
          <w:rFonts w:asciiTheme="minorHAnsi" w:hAnsiTheme="minorHAnsi" w:cstheme="minorHAnsi"/>
        </w:rPr>
        <w:t>For patients with an isolated infratentorial brain injury (e</w:t>
      </w:r>
      <w:r>
        <w:rPr>
          <w:rFonts w:asciiTheme="minorHAnsi" w:hAnsiTheme="minorHAnsi" w:cstheme="minorHAnsi"/>
        </w:rPr>
        <w:t>.g.,</w:t>
      </w:r>
      <w:r w:rsidRPr="00EE71E2">
        <w:rPr>
          <w:rFonts w:asciiTheme="minorHAnsi" w:hAnsiTheme="minorHAnsi" w:cstheme="minorHAnsi"/>
        </w:rPr>
        <w:t xml:space="preserve"> brainstem and/or cerebellar lesion due to infratentorial pathology such as ischemic or hemorrhagic stroke), a clinical </w:t>
      </w:r>
      <w:r>
        <w:rPr>
          <w:rFonts w:asciiTheme="minorHAnsi" w:hAnsiTheme="minorHAnsi" w:cstheme="minorHAnsi"/>
        </w:rPr>
        <w:t xml:space="preserve">assessment </w:t>
      </w:r>
      <w:r w:rsidRPr="00EE71E2">
        <w:rPr>
          <w:rFonts w:asciiTheme="minorHAnsi" w:hAnsiTheme="minorHAnsi" w:cstheme="minorHAnsi"/>
        </w:rPr>
        <w:t xml:space="preserve">alone is not sufficient for DNC and ancillary testing is required to determine death.  Alternatively, there can be a period of observation and reimaging to demonstrate the progression of the injury to include </w:t>
      </w:r>
      <w:r>
        <w:rPr>
          <w:rFonts w:asciiTheme="minorHAnsi" w:hAnsiTheme="minorHAnsi" w:cstheme="minorHAnsi"/>
        </w:rPr>
        <w:t xml:space="preserve">supratentorial </w:t>
      </w:r>
      <w:r w:rsidRPr="00EE71E2">
        <w:rPr>
          <w:rFonts w:asciiTheme="minorHAnsi" w:hAnsiTheme="minorHAnsi" w:cstheme="minorHAnsi"/>
        </w:rPr>
        <w:t xml:space="preserve">involvement.  If there is the demonstration of </w:t>
      </w:r>
      <w:r>
        <w:rPr>
          <w:rFonts w:asciiTheme="minorHAnsi" w:hAnsiTheme="minorHAnsi" w:cstheme="minorHAnsi"/>
        </w:rPr>
        <w:t xml:space="preserve">supratentorial </w:t>
      </w:r>
      <w:r w:rsidRPr="00EE71E2">
        <w:rPr>
          <w:rFonts w:asciiTheme="minorHAnsi" w:hAnsiTheme="minorHAnsi" w:cstheme="minorHAnsi"/>
        </w:rPr>
        <w:t xml:space="preserve">involvement, </w:t>
      </w:r>
      <w:r>
        <w:rPr>
          <w:rFonts w:asciiTheme="minorHAnsi" w:hAnsiTheme="minorHAnsi" w:cstheme="minorHAnsi"/>
        </w:rPr>
        <w:t xml:space="preserve">a clinical assessment alone is sufficient to determine DNC (as per 1.3) and </w:t>
      </w:r>
      <w:r w:rsidRPr="00EE71E2">
        <w:rPr>
          <w:rFonts w:asciiTheme="minorHAnsi" w:hAnsiTheme="minorHAnsi" w:cstheme="minorHAnsi"/>
        </w:rPr>
        <w:t>ancillary testing is only necessary as indicated in 1.</w:t>
      </w:r>
      <w:r>
        <w:rPr>
          <w:rFonts w:asciiTheme="minorHAnsi" w:hAnsiTheme="minorHAnsi" w:cstheme="minorHAnsi"/>
        </w:rPr>
        <w:t>8</w:t>
      </w:r>
      <w:r w:rsidRPr="00EE71E2">
        <w:rPr>
          <w:rFonts w:asciiTheme="minorHAnsi" w:hAnsiTheme="minorHAnsi" w:cstheme="minorHAnsi"/>
        </w:rPr>
        <w:t>.</w:t>
      </w:r>
      <w:r w:rsidRPr="00EE71E2" w:rsidDel="004F3441">
        <w:rPr>
          <w:rFonts w:asciiTheme="minorHAnsi" w:hAnsiTheme="minorHAnsi" w:cstheme="minorHAnsi"/>
        </w:rPr>
        <w:t xml:space="preserve"> </w:t>
      </w:r>
    </w:p>
    <w:p w14:paraId="2BF6FB43" w14:textId="77777777" w:rsidR="00C91DB8" w:rsidRPr="00C76FCB"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C76FCB">
        <w:rPr>
          <w:rFonts w:asciiTheme="minorHAnsi" w:hAnsiTheme="minorHAnsi" w:cstheme="minorHAnsi"/>
        </w:rPr>
        <w:t>Assessment for neurological function may be unreliable following a resuscitated cardio-respiratory event</w:t>
      </w:r>
      <w:r>
        <w:rPr>
          <w:rFonts w:asciiTheme="minorHAnsi" w:hAnsiTheme="minorHAnsi" w:cstheme="minorHAnsi"/>
        </w:rPr>
        <w:t xml:space="preserve">. To proceed with DNC post-cardiac arrest, clinical assessments should be delayed for a minimum of 48 hours from the time of the return of spontaneous circulation if there is no neuroimaging evidence of devastating brain injury.  If a physician needs to complete DNC sooner than 48 hours, then imaging evidence of devastating brain injury must be present or an ancillary test must be performed </w:t>
      </w:r>
      <w:r w:rsidRPr="00C76FCB">
        <w:rPr>
          <w:rFonts w:asciiTheme="minorHAnsi" w:hAnsiTheme="minorHAnsi" w:cstheme="minorHAnsi"/>
        </w:rPr>
        <w:t>(</w:t>
      </w:r>
      <w:r>
        <w:rPr>
          <w:rFonts w:asciiTheme="minorHAnsi" w:hAnsiTheme="minorHAnsi" w:cstheme="minorHAnsi"/>
        </w:rPr>
        <w:t>see 1.34 – 1.38</w:t>
      </w:r>
      <w:r w:rsidRPr="00C76FCB">
        <w:rPr>
          <w:rFonts w:asciiTheme="minorHAnsi" w:hAnsiTheme="minorHAnsi" w:cstheme="minorHAnsi"/>
        </w:rPr>
        <w:t>)</w:t>
      </w:r>
      <w:r>
        <w:rPr>
          <w:rFonts w:asciiTheme="minorHAnsi" w:hAnsiTheme="minorHAnsi" w:cstheme="minorHAnsi"/>
        </w:rPr>
        <w:t>.</w:t>
      </w:r>
      <w:r w:rsidRPr="00C76FCB">
        <w:rPr>
          <w:rFonts w:asciiTheme="minorHAnsi" w:hAnsiTheme="minorHAnsi" w:cstheme="minorHAnsi"/>
        </w:rPr>
        <w:t xml:space="preserve"> Consultation with the Ontario Health (TGLN) Donation Support Physician is recommended.</w:t>
      </w:r>
    </w:p>
    <w:p w14:paraId="3D11F6EE"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C76FCB">
        <w:rPr>
          <w:rFonts w:asciiTheme="minorHAnsi" w:hAnsiTheme="minorHAnsi" w:cstheme="minorHAnsi"/>
        </w:rPr>
        <w:t>The presence of therapeutic levels of anticonvulsants, sedatives, and analgesics do not constitute a contraindication to proceeding with</w:t>
      </w:r>
      <w:r>
        <w:rPr>
          <w:rFonts w:asciiTheme="minorHAnsi" w:hAnsiTheme="minorHAnsi" w:cstheme="minorHAnsi"/>
        </w:rPr>
        <w:t xml:space="preserve"> DNC assessment</w:t>
      </w:r>
      <w:r w:rsidRPr="00C76FCB">
        <w:rPr>
          <w:rFonts w:asciiTheme="minorHAnsi" w:hAnsiTheme="minorHAnsi" w:cstheme="minorHAnsi"/>
        </w:rPr>
        <w:t xml:space="preserve">.  </w:t>
      </w:r>
    </w:p>
    <w:p w14:paraId="753AEE23"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Pr>
          <w:rFonts w:asciiTheme="minorHAnsi" w:hAnsiTheme="minorHAnsi" w:cstheme="minorHAnsi"/>
        </w:rPr>
        <w:t xml:space="preserve">If instability </w:t>
      </w:r>
      <w:r w:rsidRPr="00D15544">
        <w:rPr>
          <w:rFonts w:asciiTheme="minorHAnsi" w:hAnsiTheme="minorHAnsi" w:cstheme="minorHAnsi"/>
        </w:rPr>
        <w:t>of the patient precludes completion</w:t>
      </w:r>
      <w:r>
        <w:rPr>
          <w:rFonts w:asciiTheme="minorHAnsi" w:hAnsiTheme="minorHAnsi" w:cstheme="minorHAnsi"/>
        </w:rPr>
        <w:t xml:space="preserve"> of </w:t>
      </w:r>
      <w:r w:rsidRPr="006E447D">
        <w:rPr>
          <w:rFonts w:asciiTheme="minorHAnsi" w:hAnsiTheme="minorHAnsi" w:cstheme="minorHAnsi"/>
        </w:rPr>
        <w:t xml:space="preserve">the clinical </w:t>
      </w:r>
      <w:r>
        <w:rPr>
          <w:rFonts w:asciiTheme="minorHAnsi" w:hAnsiTheme="minorHAnsi" w:cstheme="minorHAnsi"/>
        </w:rPr>
        <w:t>assessment</w:t>
      </w:r>
      <w:r w:rsidRPr="006E447D">
        <w:rPr>
          <w:rFonts w:asciiTheme="minorHAnsi" w:hAnsiTheme="minorHAnsi" w:cstheme="minorHAnsi"/>
        </w:rPr>
        <w:t xml:space="preserve"> (including apnea testing),</w:t>
      </w:r>
      <w:r>
        <w:rPr>
          <w:rFonts w:asciiTheme="minorHAnsi" w:hAnsiTheme="minorHAnsi" w:cstheme="minorHAnsi"/>
        </w:rPr>
        <w:t xml:space="preserve"> </w:t>
      </w:r>
      <w:r w:rsidRPr="006E447D">
        <w:rPr>
          <w:rFonts w:asciiTheme="minorHAnsi" w:hAnsiTheme="minorHAnsi" w:cstheme="minorHAnsi"/>
        </w:rPr>
        <w:t xml:space="preserve">or if any portion of the clinical </w:t>
      </w:r>
      <w:r>
        <w:rPr>
          <w:rFonts w:asciiTheme="minorHAnsi" w:hAnsiTheme="minorHAnsi" w:cstheme="minorHAnsi"/>
        </w:rPr>
        <w:t xml:space="preserve">assessment </w:t>
      </w:r>
      <w:r w:rsidRPr="006E447D">
        <w:rPr>
          <w:rFonts w:asciiTheme="minorHAnsi" w:hAnsiTheme="minorHAnsi" w:cstheme="minorHAnsi"/>
        </w:rPr>
        <w:t xml:space="preserve">for </w:t>
      </w:r>
      <w:r w:rsidRPr="00237807">
        <w:rPr>
          <w:rFonts w:asciiTheme="minorHAnsi" w:hAnsiTheme="minorHAnsi" w:cstheme="minorHAnsi"/>
        </w:rPr>
        <w:t>DNC can</w:t>
      </w:r>
      <w:r w:rsidRPr="006E447D">
        <w:rPr>
          <w:rFonts w:asciiTheme="minorHAnsi" w:hAnsiTheme="minorHAnsi" w:cstheme="minorHAnsi"/>
        </w:rPr>
        <w:t xml:space="preserve">not be completed, ancillary testing </w:t>
      </w:r>
      <w:r>
        <w:rPr>
          <w:rFonts w:asciiTheme="minorHAnsi" w:hAnsiTheme="minorHAnsi" w:cstheme="minorHAnsi"/>
        </w:rPr>
        <w:t>is required</w:t>
      </w:r>
      <w:r w:rsidRPr="006E447D">
        <w:rPr>
          <w:rFonts w:asciiTheme="minorHAnsi" w:hAnsiTheme="minorHAnsi" w:cstheme="minorHAnsi"/>
        </w:rPr>
        <w:t>.</w:t>
      </w:r>
    </w:p>
    <w:p w14:paraId="70CEA135" w14:textId="77777777" w:rsidR="00C91DB8" w:rsidRPr="00C76FCB"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Pr>
          <w:rFonts w:asciiTheme="minorHAnsi" w:hAnsiTheme="minorHAnsi" w:cstheme="minorHAnsi"/>
        </w:rPr>
        <w:t>The recommended sequence for DNC involves DNC clinical assessments performed to the fullest extent possible (with apnea testing as the final element of the clinical assessment) before the completion of any ancillary testing.</w:t>
      </w:r>
    </w:p>
    <w:p w14:paraId="420B6F0E" w14:textId="77777777" w:rsidR="00C91DB8" w:rsidRPr="00DC79F8" w:rsidRDefault="00C91DB8" w:rsidP="00C91DB8">
      <w:pPr>
        <w:numPr>
          <w:ilvl w:val="1"/>
          <w:numId w:val="19"/>
        </w:numPr>
        <w:suppressAutoHyphens w:val="0"/>
        <w:spacing w:after="0" w:line="300" w:lineRule="auto"/>
        <w:ind w:left="1440" w:hanging="720"/>
        <w:textAlignment w:val="auto"/>
      </w:pPr>
      <w:r w:rsidRPr="007F240B">
        <w:rPr>
          <w:rFonts w:asciiTheme="minorHAnsi" w:hAnsiTheme="minorHAnsi" w:cstheme="minorHAnsi"/>
        </w:rPr>
        <w:lastRenderedPageBreak/>
        <w:t xml:space="preserve">The legal time of death is recorded as the time of completion of the last test required to </w:t>
      </w:r>
      <w:r>
        <w:rPr>
          <w:rFonts w:asciiTheme="minorHAnsi" w:hAnsiTheme="minorHAnsi" w:cstheme="minorHAnsi"/>
        </w:rPr>
        <w:t>fulfil</w:t>
      </w:r>
      <w:r w:rsidRPr="007F240B">
        <w:rPr>
          <w:rFonts w:asciiTheme="minorHAnsi" w:hAnsiTheme="minorHAnsi" w:cstheme="minorHAnsi"/>
        </w:rPr>
        <w:t xml:space="preserve"> DNC</w:t>
      </w:r>
      <w:r>
        <w:rPr>
          <w:rFonts w:asciiTheme="minorHAnsi" w:hAnsiTheme="minorHAnsi" w:cstheme="minorHAnsi"/>
        </w:rPr>
        <w:t xml:space="preserve"> by the first determining physician</w:t>
      </w:r>
      <w:r w:rsidRPr="007F240B">
        <w:rPr>
          <w:rFonts w:asciiTheme="minorHAnsi" w:hAnsiTheme="minorHAnsi" w:cstheme="minorHAnsi"/>
        </w:rPr>
        <w:t xml:space="preserve">.    </w:t>
      </w:r>
    </w:p>
    <w:p w14:paraId="4BB04F37" w14:textId="77777777" w:rsidR="00C91DB8" w:rsidRDefault="00C91DB8" w:rsidP="00C91DB8">
      <w:pPr>
        <w:pStyle w:val="ListParagraph"/>
        <w:numPr>
          <w:ilvl w:val="2"/>
          <w:numId w:val="19"/>
        </w:numPr>
        <w:suppressAutoHyphens w:val="0"/>
        <w:autoSpaceDE/>
        <w:autoSpaceDN/>
        <w:adjustRightInd/>
        <w:spacing w:after="200" w:line="300" w:lineRule="exact"/>
        <w:textAlignment w:val="auto"/>
      </w:pPr>
      <w:r w:rsidRPr="00DC79F8">
        <w:t xml:space="preserve">When DNC is established by clinical assessments only, the time of death is the time the blood sample was taken when the PaCO2 reached the apnea test thresholds.  </w:t>
      </w:r>
    </w:p>
    <w:p w14:paraId="45DBD6BC" w14:textId="77777777" w:rsidR="00C91DB8" w:rsidRDefault="00C91DB8" w:rsidP="00C91DB8">
      <w:pPr>
        <w:pStyle w:val="ListParagraph"/>
        <w:numPr>
          <w:ilvl w:val="2"/>
          <w:numId w:val="19"/>
        </w:numPr>
        <w:suppressAutoHyphens w:val="0"/>
        <w:autoSpaceDE/>
        <w:autoSpaceDN/>
        <w:adjustRightInd/>
        <w:spacing w:after="200" w:line="300" w:lineRule="exact"/>
        <w:textAlignment w:val="auto"/>
      </w:pPr>
      <w:r w:rsidRPr="00DC79F8">
        <w:t xml:space="preserve">If ancillary testing is required, the time of death is documented as the time that the ancillary test was completed (not reported), with the understanding that results still need to be formally interpreted by neuroimaging experts and documented by the most responsible physician.  </w:t>
      </w:r>
    </w:p>
    <w:p w14:paraId="1DC9B767" w14:textId="77777777" w:rsidR="00C91DB8" w:rsidRPr="00DC79F8" w:rsidRDefault="00C91DB8" w:rsidP="00C91DB8">
      <w:pPr>
        <w:pStyle w:val="ListParagraph"/>
        <w:numPr>
          <w:ilvl w:val="2"/>
          <w:numId w:val="19"/>
        </w:numPr>
        <w:suppressAutoHyphens w:val="0"/>
        <w:autoSpaceDE/>
        <w:autoSpaceDN/>
        <w:adjustRightInd/>
        <w:spacing w:after="200" w:line="300" w:lineRule="exact"/>
        <w:textAlignment w:val="auto"/>
      </w:pPr>
      <w:r w:rsidRPr="00DC79F8">
        <w:t xml:space="preserve">If </w:t>
      </w:r>
      <w:r>
        <w:t xml:space="preserve">the assessment of </w:t>
      </w:r>
      <w:r w:rsidRPr="00DC79F8">
        <w:t>DNC occurs out of the recommended sequence, the time of death is recorded as the time the last required test is performed, ensuring the clinical assessments are completed to the fullest extent possible and the ancillary testing</w:t>
      </w:r>
      <w:r w:rsidRPr="00DC79F8">
        <w:rPr>
          <w:sz w:val="24"/>
        </w:rPr>
        <w:t xml:space="preserve"> </w:t>
      </w:r>
      <w:r w:rsidRPr="00DC79F8">
        <w:t xml:space="preserve">is complete. </w:t>
      </w:r>
    </w:p>
    <w:p w14:paraId="0BF33CDD" w14:textId="49EB74EE" w:rsidR="00626B44" w:rsidRPr="008529BF" w:rsidRDefault="00C91DB8" w:rsidP="00D26DCD">
      <w:pPr>
        <w:numPr>
          <w:ilvl w:val="1"/>
          <w:numId w:val="19"/>
        </w:numPr>
        <w:suppressAutoHyphens w:val="0"/>
        <w:spacing w:line="300" w:lineRule="auto"/>
        <w:ind w:left="1440" w:hanging="720"/>
        <w:textAlignment w:val="auto"/>
        <w:rPr>
          <w:rFonts w:asciiTheme="minorHAnsi" w:hAnsiTheme="minorHAnsi" w:cstheme="minorHAnsi"/>
          <w:b/>
          <w:i/>
        </w:rPr>
      </w:pPr>
      <w:r w:rsidRPr="008529BF">
        <w:rPr>
          <w:rFonts w:asciiTheme="minorHAnsi" w:hAnsiTheme="minorHAnsi" w:cstheme="minorHAnsi"/>
        </w:rPr>
        <w:t xml:space="preserve">For the purposes of organ donation, DNC is to be documented by both physicians who completed the DNC clinical assessments using the Ontario Health (TGLN) </w:t>
      </w:r>
      <w:r w:rsidRPr="008529BF">
        <w:rPr>
          <w:i/>
        </w:rPr>
        <w:t>Confirmation of Death Determination by Neurologic Criteria (DNC)</w:t>
      </w:r>
      <w:r w:rsidRPr="00112128">
        <w:t xml:space="preserve"> form</w:t>
      </w:r>
      <w:r>
        <w:t xml:space="preserve"> or hospital-approved alternate.  If an alternative to the Ontario Health (TGLN) form is used, this must be reviewed by the DSP. </w:t>
      </w:r>
      <w:bookmarkStart w:id="2" w:name="_Hlk131678592"/>
    </w:p>
    <w:p w14:paraId="796811F0" w14:textId="5F383FC4" w:rsidR="00C91DB8" w:rsidRPr="00C76FCB" w:rsidRDefault="00C91DB8" w:rsidP="00C91DB8">
      <w:pPr>
        <w:spacing w:line="300" w:lineRule="auto"/>
        <w:rPr>
          <w:rFonts w:asciiTheme="minorHAnsi" w:hAnsiTheme="minorHAnsi" w:cstheme="minorHAnsi"/>
          <w:b/>
          <w:i/>
        </w:rPr>
      </w:pPr>
      <w:r w:rsidRPr="00C76FCB">
        <w:rPr>
          <w:rFonts w:asciiTheme="minorHAnsi" w:hAnsiTheme="minorHAnsi" w:cstheme="minorHAnsi"/>
          <w:b/>
          <w:i/>
        </w:rPr>
        <w:t xml:space="preserve">Minimum Criteria for </w:t>
      </w:r>
      <w:r w:rsidRPr="00237807">
        <w:rPr>
          <w:rFonts w:asciiTheme="minorHAnsi" w:hAnsiTheme="minorHAnsi" w:cstheme="minorHAnsi"/>
          <w:b/>
          <w:i/>
        </w:rPr>
        <w:t>Death Determination by Neurologic Criteria (DNC)</w:t>
      </w:r>
    </w:p>
    <w:p w14:paraId="288525D1" w14:textId="77777777" w:rsidR="00C91DB8" w:rsidRPr="00C76FCB"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C76FCB">
        <w:rPr>
          <w:rFonts w:asciiTheme="minorHAnsi" w:hAnsiTheme="minorHAnsi" w:cstheme="minorHAnsi"/>
        </w:rPr>
        <w:t xml:space="preserve">The </w:t>
      </w:r>
      <w:r>
        <w:rPr>
          <w:rFonts w:asciiTheme="minorHAnsi" w:hAnsiTheme="minorHAnsi" w:cstheme="minorHAnsi"/>
        </w:rPr>
        <w:t>p</w:t>
      </w:r>
      <w:r w:rsidRPr="00C76FCB">
        <w:rPr>
          <w:rFonts w:asciiTheme="minorHAnsi" w:hAnsiTheme="minorHAnsi" w:cstheme="minorHAnsi"/>
        </w:rPr>
        <w:t>atient must have a</w:t>
      </w:r>
      <w:r>
        <w:rPr>
          <w:rFonts w:asciiTheme="minorHAnsi" w:hAnsiTheme="minorHAnsi" w:cstheme="minorHAnsi"/>
        </w:rPr>
        <w:t>n established cause of devastating brain injury and this should be supported by documented neuroimaging evidence.  In addition, confounding factors (see Appendix A) must be excluded to</w:t>
      </w:r>
      <w:r w:rsidRPr="00C76FCB">
        <w:rPr>
          <w:rFonts w:asciiTheme="minorHAnsi" w:hAnsiTheme="minorHAnsi" w:cstheme="minorHAnsi"/>
        </w:rPr>
        <w:t xml:space="preserve"> </w:t>
      </w:r>
      <w:r>
        <w:rPr>
          <w:rFonts w:asciiTheme="minorHAnsi" w:hAnsiTheme="minorHAnsi" w:cstheme="minorHAnsi"/>
        </w:rPr>
        <w:t>prevent</w:t>
      </w:r>
      <w:r w:rsidRPr="00C76FCB">
        <w:rPr>
          <w:rFonts w:asciiTheme="minorHAnsi" w:hAnsiTheme="minorHAnsi" w:cstheme="minorHAnsi"/>
        </w:rPr>
        <w:t xml:space="preserve"> the observation of neurological responses </w:t>
      </w:r>
      <w:r>
        <w:rPr>
          <w:rFonts w:asciiTheme="minorHAnsi" w:hAnsiTheme="minorHAnsi" w:cstheme="minorHAnsi"/>
        </w:rPr>
        <w:t>that may</w:t>
      </w:r>
      <w:r w:rsidRPr="00C76FCB">
        <w:rPr>
          <w:rFonts w:asciiTheme="minorHAnsi" w:hAnsiTheme="minorHAnsi" w:cstheme="minorHAnsi"/>
        </w:rPr>
        <w:t xml:space="preserve"> mimic death</w:t>
      </w:r>
      <w:r>
        <w:rPr>
          <w:rFonts w:asciiTheme="minorHAnsi" w:hAnsiTheme="minorHAnsi" w:cstheme="minorHAnsi"/>
        </w:rPr>
        <w:t>; including</w:t>
      </w:r>
      <w:r w:rsidRPr="00C76FCB">
        <w:rPr>
          <w:rFonts w:asciiTheme="minorHAnsi" w:hAnsiTheme="minorHAnsi" w:cstheme="minorHAnsi"/>
        </w:rPr>
        <w:t xml:space="preserve"> severe electrolyte abnormalities.</w:t>
      </w:r>
    </w:p>
    <w:p w14:paraId="17087FB2" w14:textId="77777777" w:rsidR="00C91DB8" w:rsidRPr="00C76FCB"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C76FCB">
        <w:rPr>
          <w:rFonts w:asciiTheme="minorHAnsi" w:hAnsiTheme="minorHAnsi" w:cstheme="minorHAnsi"/>
        </w:rPr>
        <w:t xml:space="preserve">The patient’s core body temperature </w:t>
      </w:r>
      <w:r>
        <w:rPr>
          <w:rFonts w:asciiTheme="minorHAnsi" w:hAnsiTheme="minorHAnsi" w:cstheme="minorHAnsi"/>
        </w:rPr>
        <w:t>should</w:t>
      </w:r>
      <w:r w:rsidRPr="00C76FCB">
        <w:rPr>
          <w:rFonts w:asciiTheme="minorHAnsi" w:hAnsiTheme="minorHAnsi" w:cstheme="minorHAnsi"/>
        </w:rPr>
        <w:t xml:space="preserve"> be greater than or equal to 3</w:t>
      </w:r>
      <w:r>
        <w:rPr>
          <w:rFonts w:asciiTheme="minorHAnsi" w:hAnsiTheme="minorHAnsi" w:cstheme="minorHAnsi"/>
        </w:rPr>
        <w:t>6 degrees</w:t>
      </w:r>
      <w:r w:rsidRPr="00C76FCB">
        <w:rPr>
          <w:rFonts w:asciiTheme="minorHAnsi" w:hAnsiTheme="minorHAnsi" w:cstheme="minorHAnsi"/>
        </w:rPr>
        <w:t xml:space="preserve"> Celsius</w:t>
      </w:r>
      <w:r>
        <w:rPr>
          <w:rFonts w:asciiTheme="minorHAnsi" w:hAnsiTheme="minorHAnsi" w:cstheme="minorHAnsi"/>
        </w:rPr>
        <w:t>.</w:t>
      </w:r>
      <w:r w:rsidRPr="00C76FCB">
        <w:rPr>
          <w:rFonts w:asciiTheme="minorHAnsi" w:hAnsiTheme="minorHAnsi" w:cstheme="minorHAnsi"/>
        </w:rPr>
        <w:t xml:space="preserve"> </w:t>
      </w:r>
    </w:p>
    <w:p w14:paraId="3C178F0E"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00C76FCB">
        <w:rPr>
          <w:rFonts w:asciiTheme="minorHAnsi" w:hAnsiTheme="minorHAnsi" w:cstheme="minorHAnsi"/>
        </w:rPr>
        <w:t>The physician</w:t>
      </w:r>
      <w:r>
        <w:rPr>
          <w:rFonts w:asciiTheme="minorHAnsi" w:hAnsiTheme="minorHAnsi" w:cstheme="minorHAnsi"/>
        </w:rPr>
        <w:t>s</w:t>
      </w:r>
      <w:r w:rsidRPr="00C76FCB">
        <w:rPr>
          <w:rFonts w:asciiTheme="minorHAnsi" w:hAnsiTheme="minorHAnsi" w:cstheme="minorHAnsi"/>
        </w:rPr>
        <w:t xml:space="preserve"> involved in </w:t>
      </w:r>
      <w:r w:rsidRPr="00237807">
        <w:rPr>
          <w:rFonts w:asciiTheme="minorHAnsi" w:hAnsiTheme="minorHAnsi" w:cstheme="minorHAnsi"/>
        </w:rPr>
        <w:t>DNC</w:t>
      </w:r>
      <w:r w:rsidRPr="00C76FCB">
        <w:rPr>
          <w:rFonts w:asciiTheme="minorHAnsi" w:hAnsiTheme="minorHAnsi" w:cstheme="minorHAnsi"/>
        </w:rPr>
        <w:t xml:space="preserve"> must have the knowledge and ability associated with the management of patients who have severe brain injur</w:t>
      </w:r>
      <w:r>
        <w:rPr>
          <w:rFonts w:asciiTheme="minorHAnsi" w:hAnsiTheme="minorHAnsi" w:cstheme="minorHAnsi"/>
        </w:rPr>
        <w:t>ies</w:t>
      </w:r>
      <w:r w:rsidRPr="00C76FCB">
        <w:rPr>
          <w:rFonts w:asciiTheme="minorHAnsi" w:hAnsiTheme="minorHAnsi" w:cstheme="minorHAnsi"/>
        </w:rPr>
        <w:t xml:space="preserve"> as well as in </w:t>
      </w:r>
      <w:r>
        <w:rPr>
          <w:rFonts w:asciiTheme="minorHAnsi" w:hAnsiTheme="minorHAnsi" w:cstheme="minorHAnsi"/>
        </w:rPr>
        <w:t>DNC</w:t>
      </w:r>
      <w:r w:rsidRPr="00C76FCB">
        <w:rPr>
          <w:rFonts w:asciiTheme="minorHAnsi" w:hAnsiTheme="minorHAnsi" w:cstheme="minorHAnsi"/>
        </w:rPr>
        <w:t xml:space="preserve"> for all relevant age groups within their care.</w:t>
      </w:r>
    </w:p>
    <w:p w14:paraId="6ED7D92F" w14:textId="77777777" w:rsidR="00C91DB8" w:rsidRDefault="00C91DB8" w:rsidP="00C91DB8">
      <w:pPr>
        <w:spacing w:line="300" w:lineRule="auto"/>
        <w:rPr>
          <w:rFonts w:asciiTheme="minorHAnsi" w:hAnsiTheme="minorHAnsi" w:cstheme="minorHAnsi"/>
        </w:rPr>
      </w:pPr>
      <w:r w:rsidRPr="5142FBEA">
        <w:rPr>
          <w:rFonts w:asciiTheme="minorHAnsi" w:hAnsiTheme="minorHAnsi" w:cstheme="minorBidi"/>
          <w:b/>
          <w:bCs/>
          <w:i/>
          <w:iCs/>
        </w:rPr>
        <w:t>Clinical Criteria for Death Determination by Neurologic Criteria (DNC) for Adults and Children greater than or equal to one year of age (must include all of the following)</w:t>
      </w:r>
    </w:p>
    <w:p w14:paraId="69B3DCC1" w14:textId="77777777" w:rsidR="00C91DB8" w:rsidRPr="00702215" w:rsidRDefault="00C91DB8" w:rsidP="00C91DB8">
      <w:pPr>
        <w:numPr>
          <w:ilvl w:val="1"/>
          <w:numId w:val="19"/>
        </w:numPr>
        <w:suppressAutoHyphens w:val="0"/>
        <w:spacing w:after="0" w:line="300" w:lineRule="auto"/>
        <w:ind w:left="1440" w:hanging="720"/>
        <w:textAlignment w:val="auto"/>
        <w:rPr>
          <w:rFonts w:asciiTheme="minorHAnsi" w:hAnsiTheme="minorHAnsi" w:cstheme="minorHAnsi"/>
        </w:rPr>
      </w:pPr>
      <w:r w:rsidRPr="5142FBEA">
        <w:rPr>
          <w:rFonts w:asciiTheme="minorHAnsi" w:hAnsiTheme="minorHAnsi" w:cstheme="minorBidi"/>
        </w:rPr>
        <w:t>Bilateral absence of:</w:t>
      </w:r>
    </w:p>
    <w:p w14:paraId="3428BB8B" w14:textId="77777777" w:rsidR="00C91DB8" w:rsidRPr="00C76FCB"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C76FCB">
        <w:rPr>
          <w:rFonts w:asciiTheme="minorHAnsi" w:hAnsiTheme="minorHAnsi" w:cstheme="minorHAnsi"/>
        </w:rPr>
        <w:t>Pupillary response, with pupils greater than or equal to 3mm;</w:t>
      </w:r>
    </w:p>
    <w:p w14:paraId="19AF9EC3" w14:textId="77777777" w:rsidR="00C91DB8" w:rsidRPr="00C76FCB"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C76FCB">
        <w:rPr>
          <w:rFonts w:asciiTheme="minorHAnsi" w:hAnsiTheme="minorHAnsi" w:cstheme="minorHAnsi"/>
        </w:rPr>
        <w:t>Corneal reflex;</w:t>
      </w:r>
    </w:p>
    <w:p w14:paraId="016A5B76" w14:textId="77777777" w:rsidR="00C91DB8" w:rsidRPr="00C76FCB"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C76FCB">
        <w:rPr>
          <w:rFonts w:asciiTheme="minorHAnsi" w:hAnsiTheme="minorHAnsi" w:cstheme="minorHAnsi"/>
        </w:rPr>
        <w:t>Oculovestibular response</w:t>
      </w:r>
      <w:r>
        <w:rPr>
          <w:rFonts w:asciiTheme="minorHAnsi" w:hAnsiTheme="minorHAnsi" w:cstheme="minorHAnsi"/>
        </w:rPr>
        <w:t>;</w:t>
      </w:r>
      <w:r w:rsidRPr="00C76FCB">
        <w:rPr>
          <w:rFonts w:asciiTheme="minorHAnsi" w:hAnsiTheme="minorHAnsi" w:cstheme="minorHAnsi"/>
        </w:rPr>
        <w:t xml:space="preserve"> and</w:t>
      </w:r>
    </w:p>
    <w:p w14:paraId="68436F51" w14:textId="77777777" w:rsidR="00C91DB8" w:rsidRDefault="00C91DB8" w:rsidP="00C91DB8">
      <w:pPr>
        <w:numPr>
          <w:ilvl w:val="0"/>
          <w:numId w:val="20"/>
        </w:numPr>
        <w:suppressAutoHyphens w:val="0"/>
        <w:spacing w:after="120" w:line="240" w:lineRule="auto"/>
        <w:ind w:left="1800"/>
        <w:textAlignment w:val="auto"/>
        <w:rPr>
          <w:rFonts w:asciiTheme="minorHAnsi" w:hAnsiTheme="minorHAnsi" w:cstheme="minorHAnsi"/>
        </w:rPr>
      </w:pPr>
      <w:r w:rsidRPr="00C76FCB">
        <w:rPr>
          <w:rFonts w:asciiTheme="minorHAnsi" w:hAnsiTheme="minorHAnsi" w:cstheme="minorHAnsi"/>
        </w:rPr>
        <w:t xml:space="preserve">Motor response to central </w:t>
      </w:r>
      <w:r>
        <w:rPr>
          <w:rFonts w:asciiTheme="minorHAnsi" w:hAnsiTheme="minorHAnsi" w:cstheme="minorHAnsi"/>
        </w:rPr>
        <w:t xml:space="preserve">(painful) </w:t>
      </w:r>
      <w:r w:rsidRPr="00C76FCB">
        <w:rPr>
          <w:rFonts w:asciiTheme="minorHAnsi" w:hAnsiTheme="minorHAnsi" w:cstheme="minorHAnsi"/>
        </w:rPr>
        <w:t xml:space="preserve">stimulation (e.g., </w:t>
      </w:r>
      <w:r>
        <w:rPr>
          <w:rFonts w:asciiTheme="minorHAnsi" w:hAnsiTheme="minorHAnsi" w:cstheme="minorHAnsi"/>
        </w:rPr>
        <w:t>supraorbital</w:t>
      </w:r>
      <w:r w:rsidRPr="00C76FCB">
        <w:rPr>
          <w:rFonts w:asciiTheme="minorHAnsi" w:hAnsiTheme="minorHAnsi" w:cstheme="minorHAnsi"/>
        </w:rPr>
        <w:t xml:space="preserve"> pressure), excluding spinal reflexes</w:t>
      </w:r>
    </w:p>
    <w:p w14:paraId="7E127221"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lastRenderedPageBreak/>
        <w:t>Absence of a cough and a gag response.</w:t>
      </w:r>
    </w:p>
    <w:p w14:paraId="24B16363"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 lack of respiratory effort as determined by apnea testing.</w:t>
      </w:r>
    </w:p>
    <w:p w14:paraId="443E8922"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 xml:space="preserve">Both clinical assessments may be performed concurrently. </w:t>
      </w:r>
    </w:p>
    <w:p w14:paraId="2E1FB1B9" w14:textId="77777777" w:rsidR="00C91DB8" w:rsidRPr="00154E95" w:rsidRDefault="00C91DB8" w:rsidP="00C91DB8">
      <w:pPr>
        <w:numPr>
          <w:ilvl w:val="1"/>
          <w:numId w:val="19"/>
        </w:numPr>
        <w:suppressAutoHyphens w:val="0"/>
        <w:spacing w:line="300" w:lineRule="auto"/>
        <w:ind w:left="1440" w:hanging="720"/>
        <w:textAlignment w:val="auto"/>
        <w:rPr>
          <w:rFonts w:asciiTheme="minorHAnsi" w:hAnsiTheme="minorHAnsi" w:cstheme="minorHAnsi"/>
          <w:b/>
          <w:i/>
        </w:rPr>
      </w:pPr>
      <w:r w:rsidRPr="5142FBEA">
        <w:rPr>
          <w:rFonts w:asciiTheme="minorHAnsi" w:hAnsiTheme="minorHAnsi" w:cstheme="minorBidi"/>
        </w:rPr>
        <w:t>One apnea test may be performed in the presence of both physicians. However, if both physicians are not present, then a second clinical assessment and separate apnea test must be performed for organ donation purposes.</w:t>
      </w:r>
    </w:p>
    <w:p w14:paraId="10F1CDEB" w14:textId="77777777" w:rsidR="00C91DB8" w:rsidRPr="006E629F" w:rsidRDefault="00C91DB8" w:rsidP="00C91DB8">
      <w:pPr>
        <w:spacing w:line="300" w:lineRule="auto"/>
        <w:rPr>
          <w:rFonts w:asciiTheme="minorHAnsi" w:hAnsiTheme="minorHAnsi" w:cstheme="minorHAnsi"/>
        </w:rPr>
      </w:pPr>
      <w:r w:rsidRPr="5142FBEA">
        <w:rPr>
          <w:rFonts w:asciiTheme="minorHAnsi" w:hAnsiTheme="minorHAnsi" w:cstheme="minorBidi"/>
          <w:b/>
          <w:bCs/>
          <w:i/>
          <w:iCs/>
        </w:rPr>
        <w:t>Clinical Criteria for Death Determination by Neurologic Criteria (DNC) for Infants aged two months to less than one year corrected gestational age (must include all of the following)</w:t>
      </w:r>
    </w:p>
    <w:p w14:paraId="27755D54" w14:textId="77777777" w:rsidR="00C91DB8" w:rsidRDefault="00C91DB8" w:rsidP="00C91DB8">
      <w:pPr>
        <w:numPr>
          <w:ilvl w:val="1"/>
          <w:numId w:val="19"/>
        </w:numPr>
        <w:suppressAutoHyphens w:val="0"/>
        <w:spacing w:after="0" w:line="300" w:lineRule="auto"/>
        <w:ind w:left="1440" w:hanging="720"/>
        <w:textAlignment w:val="auto"/>
        <w:rPr>
          <w:rFonts w:asciiTheme="minorHAnsi" w:hAnsiTheme="minorHAnsi" w:cstheme="minorHAnsi"/>
        </w:rPr>
      </w:pPr>
      <w:r w:rsidRPr="5142FBEA">
        <w:rPr>
          <w:rFonts w:asciiTheme="minorHAnsi" w:hAnsiTheme="minorHAnsi" w:cstheme="minorBidi"/>
        </w:rPr>
        <w:t>Bilateral Absence of:</w:t>
      </w:r>
    </w:p>
    <w:p w14:paraId="5C8A38C1" w14:textId="77777777" w:rsidR="00C91DB8" w:rsidRPr="006E629F"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6E629F">
        <w:rPr>
          <w:rFonts w:asciiTheme="minorHAnsi" w:hAnsiTheme="minorHAnsi" w:cstheme="minorHAnsi"/>
        </w:rPr>
        <w:t>Pupillary response, with pupils greater than or equal to 3mm;</w:t>
      </w:r>
    </w:p>
    <w:p w14:paraId="3DB02AC4" w14:textId="77777777" w:rsidR="00C91DB8" w:rsidRPr="006E629F"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6E629F">
        <w:rPr>
          <w:rFonts w:asciiTheme="minorHAnsi" w:hAnsiTheme="minorHAnsi" w:cstheme="minorHAnsi"/>
        </w:rPr>
        <w:t>Corneal reflex;</w:t>
      </w:r>
    </w:p>
    <w:p w14:paraId="2A657533" w14:textId="77777777" w:rsidR="00C91DB8" w:rsidRPr="005E2BA2" w:rsidRDefault="00C91DB8" w:rsidP="00C91DB8">
      <w:pPr>
        <w:numPr>
          <w:ilvl w:val="0"/>
          <w:numId w:val="24"/>
        </w:numPr>
        <w:suppressAutoHyphens w:val="0"/>
        <w:spacing w:after="0" w:line="240" w:lineRule="auto"/>
        <w:ind w:left="1800"/>
        <w:textAlignment w:val="auto"/>
        <w:rPr>
          <w:rFonts w:asciiTheme="minorHAnsi" w:hAnsiTheme="minorHAnsi" w:cstheme="minorHAnsi"/>
        </w:rPr>
      </w:pPr>
      <w:r w:rsidRPr="005E2BA2">
        <w:rPr>
          <w:rFonts w:asciiTheme="minorHAnsi" w:hAnsiTheme="minorHAnsi" w:cstheme="minorHAnsi"/>
        </w:rPr>
        <w:t>Oculovestibular response;</w:t>
      </w:r>
      <w:r>
        <w:rPr>
          <w:rFonts w:asciiTheme="minorHAnsi" w:hAnsiTheme="minorHAnsi" w:cstheme="minorHAnsi"/>
        </w:rPr>
        <w:t xml:space="preserve"> </w:t>
      </w:r>
      <w:r w:rsidRPr="005E2BA2">
        <w:rPr>
          <w:rFonts w:asciiTheme="minorHAnsi" w:hAnsiTheme="minorHAnsi" w:cstheme="minorHAnsi"/>
        </w:rPr>
        <w:t>and</w:t>
      </w:r>
    </w:p>
    <w:p w14:paraId="114DF0C2" w14:textId="77777777" w:rsidR="00C91DB8" w:rsidRPr="00C76FCB" w:rsidRDefault="00C91DB8" w:rsidP="00C91DB8">
      <w:pPr>
        <w:numPr>
          <w:ilvl w:val="0"/>
          <w:numId w:val="20"/>
        </w:numPr>
        <w:suppressAutoHyphens w:val="0"/>
        <w:spacing w:after="120" w:line="240" w:lineRule="auto"/>
        <w:ind w:left="1800"/>
        <w:textAlignment w:val="auto"/>
        <w:rPr>
          <w:rFonts w:asciiTheme="minorHAnsi" w:hAnsiTheme="minorHAnsi" w:cstheme="minorHAnsi"/>
        </w:rPr>
      </w:pPr>
      <w:r w:rsidRPr="00C76FCB">
        <w:rPr>
          <w:rFonts w:asciiTheme="minorHAnsi" w:hAnsiTheme="minorHAnsi" w:cstheme="minorHAnsi"/>
        </w:rPr>
        <w:t>Motor response to central</w:t>
      </w:r>
      <w:r>
        <w:rPr>
          <w:rFonts w:asciiTheme="minorHAnsi" w:hAnsiTheme="minorHAnsi" w:cstheme="minorHAnsi"/>
        </w:rPr>
        <w:t xml:space="preserve"> (painful)</w:t>
      </w:r>
      <w:r w:rsidRPr="00C76FCB">
        <w:rPr>
          <w:rFonts w:asciiTheme="minorHAnsi" w:hAnsiTheme="minorHAnsi" w:cstheme="minorHAnsi"/>
        </w:rPr>
        <w:t xml:space="preserve"> stimulation (e.g., </w:t>
      </w:r>
      <w:r>
        <w:rPr>
          <w:rFonts w:asciiTheme="minorHAnsi" w:hAnsiTheme="minorHAnsi" w:cstheme="minorHAnsi"/>
        </w:rPr>
        <w:t xml:space="preserve">supraorbital </w:t>
      </w:r>
      <w:r w:rsidRPr="00C76FCB">
        <w:rPr>
          <w:rFonts w:asciiTheme="minorHAnsi" w:hAnsiTheme="minorHAnsi" w:cstheme="minorHAnsi"/>
        </w:rPr>
        <w:t>pressure), excluding spinal reflexes</w:t>
      </w:r>
    </w:p>
    <w:p w14:paraId="761A0409"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Absence of a cough and a gag response.</w:t>
      </w:r>
    </w:p>
    <w:p w14:paraId="5F19CAFF"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 lack of respiratory effort as determined by apnea testing.</w:t>
      </w:r>
    </w:p>
    <w:p w14:paraId="7B8D910B"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 xml:space="preserve">The second required clinical assessment for DNC must occur separately and independently from the initial assessment, including apnea testing.  </w:t>
      </w:r>
    </w:p>
    <w:p w14:paraId="01024F3B"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There is no recommended time interval that must occur between the two assessments; however, each must be performed independently.</w:t>
      </w:r>
    </w:p>
    <w:p w14:paraId="50A64434" w14:textId="77777777" w:rsidR="00C91DB8" w:rsidRPr="006E629F" w:rsidRDefault="00C91DB8" w:rsidP="00C91DB8">
      <w:pPr>
        <w:spacing w:line="300" w:lineRule="auto"/>
        <w:rPr>
          <w:rFonts w:asciiTheme="minorHAnsi" w:hAnsiTheme="minorHAnsi" w:cstheme="minorHAnsi"/>
        </w:rPr>
      </w:pPr>
      <w:r w:rsidRPr="5142FBEA">
        <w:rPr>
          <w:rFonts w:asciiTheme="minorHAnsi" w:hAnsiTheme="minorHAnsi" w:cstheme="minorBidi"/>
          <w:b/>
          <w:bCs/>
          <w:i/>
          <w:iCs/>
        </w:rPr>
        <w:t>Clinical Criteria for Determination of Death by Neurological Criteria (DNC) for Newborns aged 37 weeks corrected gestational age to less than two months (must include all of the following)</w:t>
      </w:r>
    </w:p>
    <w:p w14:paraId="15935A75" w14:textId="77777777" w:rsidR="00C91DB8" w:rsidRDefault="00C91DB8" w:rsidP="00C91DB8">
      <w:pPr>
        <w:numPr>
          <w:ilvl w:val="1"/>
          <w:numId w:val="19"/>
        </w:numPr>
        <w:suppressAutoHyphens w:val="0"/>
        <w:spacing w:after="0" w:line="300" w:lineRule="auto"/>
        <w:ind w:left="1440" w:hanging="720"/>
        <w:textAlignment w:val="auto"/>
        <w:rPr>
          <w:rFonts w:asciiTheme="minorHAnsi" w:hAnsiTheme="minorHAnsi" w:cstheme="minorHAnsi"/>
        </w:rPr>
      </w:pPr>
      <w:r w:rsidRPr="5142FBEA">
        <w:rPr>
          <w:rFonts w:asciiTheme="minorHAnsi" w:hAnsiTheme="minorHAnsi" w:cstheme="minorBidi"/>
        </w:rPr>
        <w:t>Bilateral Absence of:</w:t>
      </w:r>
    </w:p>
    <w:p w14:paraId="5101F818" w14:textId="77777777" w:rsidR="00C91DB8" w:rsidRPr="006E629F"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C76FCB">
        <w:rPr>
          <w:rFonts w:asciiTheme="minorHAnsi" w:hAnsiTheme="minorHAnsi" w:cstheme="minorHAnsi"/>
        </w:rPr>
        <w:t>Pupillary</w:t>
      </w:r>
      <w:r w:rsidRPr="006E629F">
        <w:rPr>
          <w:rFonts w:asciiTheme="minorHAnsi" w:hAnsiTheme="minorHAnsi" w:cstheme="minorHAnsi"/>
        </w:rPr>
        <w:t xml:space="preserve"> response, with pupils greater than or equal to 3mm;</w:t>
      </w:r>
    </w:p>
    <w:p w14:paraId="53979665" w14:textId="77777777" w:rsidR="00C91DB8" w:rsidRPr="006E629F"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6E629F">
        <w:rPr>
          <w:rFonts w:asciiTheme="minorHAnsi" w:hAnsiTheme="minorHAnsi" w:cstheme="minorHAnsi"/>
        </w:rPr>
        <w:t>Corneal reflex;</w:t>
      </w:r>
    </w:p>
    <w:p w14:paraId="79718D2F" w14:textId="77777777" w:rsidR="00C91DB8" w:rsidRDefault="00C91DB8" w:rsidP="00C91DB8">
      <w:pPr>
        <w:numPr>
          <w:ilvl w:val="0"/>
          <w:numId w:val="20"/>
        </w:numPr>
        <w:suppressAutoHyphens w:val="0"/>
        <w:spacing w:after="0" w:line="240" w:lineRule="auto"/>
        <w:ind w:left="1800"/>
        <w:textAlignment w:val="auto"/>
        <w:rPr>
          <w:rFonts w:asciiTheme="minorHAnsi" w:hAnsiTheme="minorHAnsi" w:cstheme="minorHAnsi"/>
        </w:rPr>
      </w:pPr>
      <w:r w:rsidRPr="006E629F">
        <w:rPr>
          <w:rFonts w:asciiTheme="minorHAnsi" w:hAnsiTheme="minorHAnsi" w:cstheme="minorHAnsi"/>
        </w:rPr>
        <w:t>Oculovestibular response;</w:t>
      </w:r>
      <w:r>
        <w:rPr>
          <w:rFonts w:asciiTheme="minorHAnsi" w:hAnsiTheme="minorHAnsi" w:cstheme="minorHAnsi"/>
        </w:rPr>
        <w:t xml:space="preserve"> </w:t>
      </w:r>
      <w:r w:rsidRPr="004F01BB">
        <w:rPr>
          <w:rFonts w:asciiTheme="minorHAnsi" w:hAnsiTheme="minorHAnsi" w:cstheme="minorHAnsi"/>
        </w:rPr>
        <w:t>and</w:t>
      </w:r>
    </w:p>
    <w:p w14:paraId="144244E1" w14:textId="77777777" w:rsidR="00C91DB8" w:rsidRPr="00B162A9" w:rsidRDefault="00C91DB8" w:rsidP="00C91DB8">
      <w:pPr>
        <w:numPr>
          <w:ilvl w:val="0"/>
          <w:numId w:val="20"/>
        </w:numPr>
        <w:suppressAutoHyphens w:val="0"/>
        <w:spacing w:after="200" w:line="240" w:lineRule="auto"/>
        <w:ind w:left="1800"/>
        <w:textAlignment w:val="auto"/>
        <w:rPr>
          <w:rFonts w:asciiTheme="minorHAnsi" w:hAnsiTheme="minorHAnsi" w:cstheme="minorHAnsi"/>
        </w:rPr>
      </w:pPr>
      <w:r w:rsidRPr="001B603F">
        <w:rPr>
          <w:rFonts w:asciiTheme="minorHAnsi" w:hAnsiTheme="minorHAnsi" w:cstheme="minorHAnsi"/>
        </w:rPr>
        <w:t>Motor response to central (painful) stimulation (e.g., supraorbital pressure), excluding spinal reflexes</w:t>
      </w:r>
    </w:p>
    <w:p w14:paraId="4D592881" w14:textId="77777777" w:rsidR="00C91DB8" w:rsidRPr="0024320E"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Absence of a cough and a gag response.</w:t>
      </w:r>
    </w:p>
    <w:p w14:paraId="7073C29D"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Absence of sucking and rooting reflex.</w:t>
      </w:r>
    </w:p>
    <w:p w14:paraId="23FDF480"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lastRenderedPageBreak/>
        <w:t>A lack of respiratory effort as determined by apnea testing.</w:t>
      </w:r>
    </w:p>
    <w:p w14:paraId="6099A8E4" w14:textId="77777777" w:rsidR="00C91DB8" w:rsidRPr="00237807"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For this age group, there should be a minimum of 48 hours between birth and the first DNC clinical assessment.</w:t>
      </w:r>
    </w:p>
    <w:p w14:paraId="4FD027F9" w14:textId="6EFCC150" w:rsidR="00C91DB8" w:rsidRPr="00626B44" w:rsidRDefault="00C91DB8" w:rsidP="00C91DB8">
      <w:pPr>
        <w:numPr>
          <w:ilvl w:val="1"/>
          <w:numId w:val="19"/>
        </w:numPr>
        <w:suppressAutoHyphens w:val="0"/>
        <w:spacing w:line="300" w:lineRule="auto"/>
        <w:ind w:left="1440" w:hanging="720"/>
        <w:textAlignment w:val="auto"/>
        <w:rPr>
          <w:rFonts w:asciiTheme="minorHAnsi" w:hAnsiTheme="minorHAnsi" w:cstheme="minorHAnsi"/>
          <w:b/>
          <w:i/>
        </w:rPr>
      </w:pPr>
      <w:r w:rsidRPr="5142FBEA">
        <w:rPr>
          <w:rFonts w:asciiTheme="minorHAnsi" w:hAnsiTheme="minorHAnsi" w:cstheme="minorBidi"/>
        </w:rPr>
        <w:t xml:space="preserve">The second required clinical assessment for DNC should take place after a minimum interval of 24 hours after the first DNC clinical assessment.  This interval may be extended based on physician judgment.  Consultation with an Ontario Health (TGLN) DSP </w:t>
      </w:r>
      <w:r>
        <w:rPr>
          <w:rFonts w:asciiTheme="minorHAnsi" w:hAnsiTheme="minorHAnsi" w:cstheme="minorBidi"/>
        </w:rPr>
        <w:t xml:space="preserve">or another expert </w:t>
      </w:r>
      <w:r w:rsidRPr="5142FBEA">
        <w:rPr>
          <w:rFonts w:asciiTheme="minorHAnsi" w:hAnsiTheme="minorHAnsi" w:cstheme="minorBidi"/>
        </w:rPr>
        <w:t xml:space="preserve">is recommended.  Additional caution should be exercised in this age group.   </w:t>
      </w:r>
      <w:bookmarkEnd w:id="2"/>
    </w:p>
    <w:p w14:paraId="7F9A66C0" w14:textId="77777777" w:rsidR="00C91DB8" w:rsidRPr="006E629F" w:rsidRDefault="00C91DB8" w:rsidP="00C91DB8">
      <w:pPr>
        <w:spacing w:line="300" w:lineRule="auto"/>
        <w:rPr>
          <w:rFonts w:asciiTheme="minorHAnsi" w:hAnsiTheme="minorHAnsi" w:cstheme="minorHAnsi"/>
        </w:rPr>
      </w:pPr>
      <w:r w:rsidRPr="006E629F">
        <w:rPr>
          <w:rFonts w:asciiTheme="minorHAnsi" w:hAnsiTheme="minorHAnsi" w:cstheme="minorHAnsi"/>
          <w:b/>
          <w:i/>
        </w:rPr>
        <w:t>Apnea Testing</w:t>
      </w:r>
    </w:p>
    <w:p w14:paraId="6164D826" w14:textId="626B7459" w:rsidR="00C91DB8" w:rsidRDefault="00C91DB8" w:rsidP="00C91DB8">
      <w:pPr>
        <w:numPr>
          <w:ilvl w:val="1"/>
          <w:numId w:val="19"/>
        </w:numPr>
        <w:suppressAutoHyphens w:val="0"/>
        <w:spacing w:line="300" w:lineRule="auto"/>
        <w:ind w:left="1440" w:hanging="720"/>
        <w:textAlignment w:val="auto"/>
        <w:rPr>
          <w:rFonts w:asciiTheme="minorHAnsi" w:hAnsiTheme="minorHAnsi" w:cstheme="minorBidi"/>
        </w:rPr>
      </w:pPr>
      <w:r w:rsidRPr="5B381EC5">
        <w:rPr>
          <w:rFonts w:asciiTheme="minorHAnsi" w:hAnsiTheme="minorHAnsi" w:cstheme="minorBidi"/>
        </w:rPr>
        <w:t xml:space="preserve">Reasonable efforts to normalize the patient’s baseline arterial blood gas should be performed. </w:t>
      </w:r>
      <w:r w:rsidRPr="009D65D6">
        <w:rPr>
          <w:rFonts w:asciiTheme="minorHAnsi" w:hAnsiTheme="minorHAnsi" w:cstheme="minorBidi"/>
        </w:rPr>
        <w:t xml:space="preserve">In instances where the patient has an abnormal baseline </w:t>
      </w:r>
      <w:r w:rsidR="00626B44">
        <w:rPr>
          <w:rFonts w:asciiTheme="minorHAnsi" w:hAnsiTheme="minorHAnsi" w:cstheme="minorBidi"/>
        </w:rPr>
        <w:t xml:space="preserve">arterial </w:t>
      </w:r>
      <w:r w:rsidRPr="009D65D6">
        <w:rPr>
          <w:rFonts w:asciiTheme="minorHAnsi" w:hAnsiTheme="minorHAnsi" w:cstheme="minorBidi"/>
        </w:rPr>
        <w:t>blood gas, expert consultation is required prior to apnea testing.  In some circumstances, an ancillary test will be required</w:t>
      </w:r>
      <w:r w:rsidR="00626B44">
        <w:rPr>
          <w:rFonts w:asciiTheme="minorHAnsi" w:hAnsiTheme="minorHAnsi" w:cstheme="minorBidi"/>
        </w:rPr>
        <w:t xml:space="preserve"> </w:t>
      </w:r>
      <w:r w:rsidRPr="5B381EC5">
        <w:rPr>
          <w:rFonts w:asciiTheme="minorHAnsi" w:hAnsiTheme="minorHAnsi" w:cstheme="minorBidi"/>
        </w:rPr>
        <w:t>(see Appendix B for Apnea Testing Guidelines).</w:t>
      </w:r>
    </w:p>
    <w:p w14:paraId="74C50224"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A period of pre-oxygenation with FiO</w:t>
      </w:r>
      <w:r w:rsidRPr="5142FBEA">
        <w:rPr>
          <w:rFonts w:asciiTheme="minorHAnsi" w:hAnsiTheme="minorHAnsi" w:cstheme="minorBidi"/>
          <w:vertAlign w:val="subscript"/>
        </w:rPr>
        <w:t>2</w:t>
      </w:r>
      <w:r w:rsidRPr="5142FBEA">
        <w:rPr>
          <w:rFonts w:asciiTheme="minorHAnsi" w:hAnsiTheme="minorHAnsi" w:cstheme="minorBidi"/>
        </w:rPr>
        <w:t xml:space="preserve"> of 1.0 is required for all apnea tests. Oxygen should be provided during the observation period for the apnea test (see Appendix B for apnea test guidelines). </w:t>
      </w:r>
    </w:p>
    <w:p w14:paraId="44F02533" w14:textId="77777777" w:rsidR="00C91DB8" w:rsidRPr="00B162A9"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The following thresholds must be met to define an adequate apnea test (i.e. an adequate CO</w:t>
      </w:r>
      <w:r w:rsidRPr="5142FBEA">
        <w:rPr>
          <w:rFonts w:asciiTheme="minorHAnsi" w:hAnsiTheme="minorHAnsi" w:cstheme="minorBidi"/>
          <w:vertAlign w:val="subscript"/>
        </w:rPr>
        <w:t>2</w:t>
      </w:r>
      <w:r w:rsidRPr="5142FBEA">
        <w:rPr>
          <w:rFonts w:asciiTheme="minorHAnsi" w:hAnsiTheme="minorHAnsi" w:cstheme="minorBidi"/>
        </w:rPr>
        <w:t xml:space="preserve"> challenge of t</w:t>
      </w:r>
      <w:r>
        <w:t>he brainstem):</w:t>
      </w:r>
    </w:p>
    <w:p w14:paraId="4BCFF4C3" w14:textId="77777777" w:rsidR="00C91DB8" w:rsidRPr="006E447D" w:rsidRDefault="00C91DB8" w:rsidP="00C91DB8">
      <w:pPr>
        <w:pStyle w:val="ListParagraph"/>
        <w:numPr>
          <w:ilvl w:val="0"/>
          <w:numId w:val="25"/>
        </w:numPr>
        <w:suppressAutoHyphens w:val="0"/>
        <w:spacing w:after="0" w:line="300" w:lineRule="auto"/>
        <w:textAlignment w:val="auto"/>
        <w:rPr>
          <w:rFonts w:asciiTheme="minorHAnsi" w:hAnsiTheme="minorHAnsi" w:cstheme="minorHAnsi"/>
        </w:rPr>
      </w:pPr>
      <w:r w:rsidRPr="006E447D">
        <w:rPr>
          <w:rFonts w:asciiTheme="minorHAnsi" w:hAnsiTheme="minorHAnsi" w:cstheme="minorHAnsi"/>
        </w:rPr>
        <w:t>The final PaCO</w:t>
      </w:r>
      <w:r w:rsidRPr="006E447D">
        <w:rPr>
          <w:rFonts w:asciiTheme="minorHAnsi" w:hAnsiTheme="minorHAnsi" w:cstheme="minorHAnsi"/>
          <w:vertAlign w:val="subscript"/>
        </w:rPr>
        <w:t>2</w:t>
      </w:r>
      <w:r w:rsidRPr="006E447D">
        <w:rPr>
          <w:rFonts w:asciiTheme="minorHAnsi" w:hAnsiTheme="minorHAnsi" w:cstheme="minorHAnsi"/>
        </w:rPr>
        <w:t xml:space="preserve"> must rise </w:t>
      </w:r>
      <w:r>
        <w:rPr>
          <w:rFonts w:asciiTheme="minorHAnsi" w:hAnsiTheme="minorHAnsi" w:cstheme="minorHAnsi"/>
        </w:rPr>
        <w:t>to be greater than or equal to</w:t>
      </w:r>
      <w:r w:rsidRPr="006E447D">
        <w:rPr>
          <w:rFonts w:asciiTheme="minorHAnsi" w:hAnsiTheme="minorHAnsi" w:cstheme="minorHAnsi"/>
        </w:rPr>
        <w:t xml:space="preserve"> 60 mm Hg, and</w:t>
      </w:r>
    </w:p>
    <w:p w14:paraId="50BFABCE" w14:textId="4EDD741D" w:rsidR="00C91DB8" w:rsidRPr="00626B44" w:rsidRDefault="00C91DB8" w:rsidP="00626B44">
      <w:pPr>
        <w:pStyle w:val="ListParagraph"/>
        <w:numPr>
          <w:ilvl w:val="0"/>
          <w:numId w:val="25"/>
        </w:numPr>
        <w:suppressAutoHyphens w:val="0"/>
        <w:spacing w:after="0" w:line="300" w:lineRule="auto"/>
        <w:textAlignment w:val="auto"/>
        <w:rPr>
          <w:rFonts w:asciiTheme="minorHAnsi" w:hAnsiTheme="minorHAnsi" w:cstheme="minorHAnsi"/>
        </w:rPr>
      </w:pPr>
      <w:r w:rsidRPr="006E447D">
        <w:rPr>
          <w:rFonts w:asciiTheme="minorHAnsi" w:hAnsiTheme="minorHAnsi" w:cstheme="minorHAnsi"/>
        </w:rPr>
        <w:t>The PaCO</w:t>
      </w:r>
      <w:r w:rsidRPr="006E447D">
        <w:rPr>
          <w:rFonts w:asciiTheme="minorHAnsi" w:hAnsiTheme="minorHAnsi" w:cstheme="minorHAnsi"/>
          <w:vertAlign w:val="subscript"/>
        </w:rPr>
        <w:t>2</w:t>
      </w:r>
      <w:r w:rsidRPr="006E447D">
        <w:rPr>
          <w:rFonts w:asciiTheme="minorHAnsi" w:hAnsiTheme="minorHAnsi" w:cstheme="minorHAnsi"/>
        </w:rPr>
        <w:t xml:space="preserve"> must have a minimum increase of</w:t>
      </w:r>
      <w:r>
        <w:rPr>
          <w:rFonts w:asciiTheme="minorHAnsi" w:hAnsiTheme="minorHAnsi" w:cstheme="minorHAnsi"/>
        </w:rPr>
        <w:t xml:space="preserve"> greater than or equal to</w:t>
      </w:r>
      <w:r w:rsidRPr="006E447D">
        <w:rPr>
          <w:rFonts w:asciiTheme="minorHAnsi" w:hAnsiTheme="minorHAnsi" w:cstheme="minorHAnsi"/>
        </w:rPr>
        <w:t xml:space="preserve"> 20 mm Hg above the baseline; and</w:t>
      </w:r>
    </w:p>
    <w:p w14:paraId="642EE709" w14:textId="77777777" w:rsidR="00C91DB8" w:rsidRPr="006E447D" w:rsidRDefault="00C91DB8" w:rsidP="00C91DB8">
      <w:pPr>
        <w:pStyle w:val="ListParagraph"/>
        <w:numPr>
          <w:ilvl w:val="0"/>
          <w:numId w:val="25"/>
        </w:numPr>
        <w:suppressAutoHyphens w:val="0"/>
        <w:spacing w:line="300" w:lineRule="auto"/>
        <w:textAlignment w:val="auto"/>
        <w:rPr>
          <w:rFonts w:asciiTheme="minorHAnsi" w:hAnsiTheme="minorHAnsi" w:cstheme="minorHAnsi"/>
        </w:rPr>
      </w:pPr>
      <w:r w:rsidRPr="006E447D">
        <w:rPr>
          <w:rFonts w:asciiTheme="minorHAnsi" w:hAnsiTheme="minorHAnsi" w:cstheme="minorHAnsi"/>
        </w:rPr>
        <w:t>The final pH must be less than or equal to 7.28.</w:t>
      </w:r>
    </w:p>
    <w:p w14:paraId="76621F01" w14:textId="77777777" w:rsidR="00C91DB8" w:rsidRDefault="00C91DB8" w:rsidP="00C91DB8">
      <w:pPr>
        <w:spacing w:after="0" w:line="300" w:lineRule="auto"/>
        <w:rPr>
          <w:rFonts w:asciiTheme="minorHAnsi" w:hAnsiTheme="minorHAnsi" w:cstheme="minorHAnsi"/>
          <w:b/>
          <w:i/>
        </w:rPr>
      </w:pPr>
      <w:r w:rsidRPr="006E447D">
        <w:rPr>
          <w:rFonts w:asciiTheme="minorHAnsi" w:hAnsiTheme="minorHAnsi" w:cstheme="minorHAnsi"/>
          <w:b/>
          <w:i/>
        </w:rPr>
        <w:t>Ancillary Testing</w:t>
      </w:r>
    </w:p>
    <w:p w14:paraId="2D4C684B" w14:textId="77777777" w:rsidR="00C91DB8" w:rsidRPr="006E447D" w:rsidRDefault="00C91DB8" w:rsidP="00C91DB8">
      <w:pPr>
        <w:spacing w:after="0" w:line="300" w:lineRule="auto"/>
        <w:ind w:left="720"/>
        <w:rPr>
          <w:rFonts w:asciiTheme="minorHAnsi" w:hAnsiTheme="minorHAnsi" w:cstheme="minorHAnsi"/>
        </w:rPr>
      </w:pPr>
    </w:p>
    <w:p w14:paraId="6749D3B2"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For adults and children greater than or equal to one year of age, acceptable ancillary tests for DNC are, in order of recommendation, Radionucleotide Brain Perfusion Study (employing a lipophilic radiopharmaceutical), Computed Tomography-Angiography (CTA), Transcranial Doppler, and Computed Tomography-Perfusion (CTP).  If ancillary testing is required, one of these tests must be used to confirm lack of blood flow and perfusion to the brain, consistent with DNC.</w:t>
      </w:r>
    </w:p>
    <w:p w14:paraId="164B3453"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lastRenderedPageBreak/>
        <w:t xml:space="preserve">For infants aged two months to less than one year corrected gestational age, the acceptable ancillary test for DNC is a Radionuclide Brain Perfusion Study, ideally using a lipophilic radiopharmaceutical with or without tomographic imaging. </w:t>
      </w:r>
    </w:p>
    <w:p w14:paraId="5E2313C4"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 xml:space="preserve">For newborns less than two months corrected age, ancillary testing is not recommended. </w:t>
      </w:r>
    </w:p>
    <w:p w14:paraId="02BA2837"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The physician responsible for the review and analysis of the aforementioned ancillary tests must have the background and training necessary to make such conclusions.</w:t>
      </w:r>
      <w:r w:rsidRPr="5142FBEA">
        <w:rPr>
          <w:sz w:val="27"/>
          <w:szCs w:val="27"/>
        </w:rPr>
        <w:t xml:space="preserve">  </w:t>
      </w:r>
    </w:p>
    <w:p w14:paraId="3AA56992" w14:textId="77777777" w:rsidR="00C91DB8" w:rsidRDefault="00C91DB8" w:rsidP="00C91DB8">
      <w:pPr>
        <w:numPr>
          <w:ilvl w:val="1"/>
          <w:numId w:val="19"/>
        </w:numPr>
        <w:suppressAutoHyphens w:val="0"/>
        <w:spacing w:line="300" w:lineRule="auto"/>
        <w:ind w:left="1440" w:hanging="720"/>
        <w:textAlignment w:val="auto"/>
        <w:rPr>
          <w:rFonts w:asciiTheme="minorHAnsi" w:hAnsiTheme="minorHAnsi" w:cstheme="minorHAnsi"/>
        </w:rPr>
      </w:pPr>
      <w:r w:rsidRPr="5142FBEA">
        <w:rPr>
          <w:rFonts w:asciiTheme="minorHAnsi" w:hAnsiTheme="minorHAnsi" w:cstheme="minorBidi"/>
        </w:rPr>
        <w:t xml:space="preserve">The physician(s) responsible for the final documentation and synthesis of all necessary clinical requirements for DNC, including ancillary testing documentation, is the patient’s most responsible physician and/or designate. </w:t>
      </w:r>
    </w:p>
    <w:p w14:paraId="76CFEA98" w14:textId="77777777" w:rsidR="00C91DB8" w:rsidRDefault="00C91DB8" w:rsidP="00C91DB8">
      <w:pPr>
        <w:spacing w:line="300" w:lineRule="auto"/>
        <w:ind w:left="1440"/>
        <w:rPr>
          <w:rFonts w:asciiTheme="minorHAnsi" w:hAnsiTheme="minorHAnsi" w:cstheme="minorHAnsi"/>
        </w:rPr>
      </w:pPr>
    </w:p>
    <w:p w14:paraId="2167B0EC" w14:textId="77777777" w:rsidR="00C91DB8" w:rsidRDefault="00C91DB8" w:rsidP="00C91DB8">
      <w:pPr>
        <w:spacing w:line="300" w:lineRule="auto"/>
        <w:rPr>
          <w:rFonts w:asciiTheme="minorHAnsi" w:hAnsiTheme="minorHAnsi" w:cstheme="minorHAnsi"/>
          <w:b/>
          <w:bCs/>
          <w:sz w:val="28"/>
        </w:rPr>
      </w:pPr>
    </w:p>
    <w:p w14:paraId="21FB1033" w14:textId="77777777" w:rsidR="00C91DB8" w:rsidRDefault="00C91DB8" w:rsidP="00C91DB8">
      <w:pPr>
        <w:spacing w:line="300" w:lineRule="auto"/>
        <w:rPr>
          <w:rFonts w:asciiTheme="minorHAnsi" w:hAnsiTheme="minorHAnsi" w:cstheme="minorHAnsi"/>
          <w:b/>
          <w:bCs/>
          <w:sz w:val="28"/>
        </w:rPr>
      </w:pPr>
      <w:r>
        <w:rPr>
          <w:rFonts w:asciiTheme="minorHAnsi" w:hAnsiTheme="minorHAnsi" w:cstheme="minorHAnsi"/>
          <w:b/>
          <w:bCs/>
          <w:sz w:val="28"/>
        </w:rPr>
        <w:br w:type="page"/>
      </w:r>
    </w:p>
    <w:p w14:paraId="37A92C6D" w14:textId="77777777" w:rsidR="00C91DB8" w:rsidRPr="003E7760" w:rsidRDefault="00C91DB8" w:rsidP="00C91DB8">
      <w:pPr>
        <w:spacing w:line="300" w:lineRule="auto"/>
        <w:rPr>
          <w:rFonts w:asciiTheme="minorHAnsi" w:hAnsiTheme="minorHAnsi" w:cstheme="minorHAnsi"/>
          <w:sz w:val="28"/>
        </w:rPr>
      </w:pPr>
      <w:r w:rsidRPr="003E7760">
        <w:rPr>
          <w:rFonts w:asciiTheme="minorHAnsi" w:hAnsiTheme="minorHAnsi" w:cstheme="minorHAnsi"/>
          <w:b/>
          <w:bCs/>
          <w:sz w:val="28"/>
        </w:rPr>
        <w:lastRenderedPageBreak/>
        <w:t>Records:</w:t>
      </w:r>
    </w:p>
    <w:p w14:paraId="701A1867"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rPr>
        <w:t>No records.</w:t>
      </w:r>
    </w:p>
    <w:p w14:paraId="34271A36" w14:textId="77777777" w:rsidR="00C91DB8" w:rsidRDefault="00C91DB8" w:rsidP="00C91DB8">
      <w:pPr>
        <w:spacing w:line="300" w:lineRule="auto"/>
        <w:rPr>
          <w:rFonts w:asciiTheme="minorHAnsi" w:hAnsiTheme="minorHAnsi" w:cstheme="minorHAnsi"/>
          <w:b/>
          <w:bCs/>
          <w:sz w:val="28"/>
        </w:rPr>
      </w:pPr>
    </w:p>
    <w:p w14:paraId="5B254795" w14:textId="77777777" w:rsidR="00C91DB8" w:rsidRPr="0078543A" w:rsidRDefault="00C91DB8" w:rsidP="00C91DB8">
      <w:pPr>
        <w:spacing w:line="300" w:lineRule="auto"/>
        <w:rPr>
          <w:rFonts w:asciiTheme="minorHAnsi" w:hAnsiTheme="minorHAnsi" w:cstheme="minorHAnsi"/>
          <w:sz w:val="28"/>
        </w:rPr>
      </w:pPr>
      <w:r w:rsidRPr="0078543A">
        <w:rPr>
          <w:rFonts w:asciiTheme="minorHAnsi" w:hAnsiTheme="minorHAnsi" w:cstheme="minorHAnsi"/>
          <w:b/>
          <w:bCs/>
          <w:sz w:val="28"/>
        </w:rPr>
        <w:t>References:</w:t>
      </w:r>
    </w:p>
    <w:p w14:paraId="40380149" w14:textId="77777777" w:rsidR="00C91DB8" w:rsidRPr="00F92157"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Burke, K. (2003). </w:t>
      </w:r>
      <w:r w:rsidRPr="00F92157">
        <w:rPr>
          <w:rFonts w:asciiTheme="minorHAnsi" w:hAnsiTheme="minorHAnsi" w:cstheme="minorHAnsi"/>
          <w:i/>
          <w:iCs/>
        </w:rPr>
        <w:t>Legal foundations for the neurological determination of death.</w:t>
      </w:r>
      <w:r w:rsidRPr="00F92157">
        <w:rPr>
          <w:rFonts w:asciiTheme="minorHAnsi" w:hAnsiTheme="minorHAnsi" w:cstheme="minorHAnsi"/>
        </w:rPr>
        <w:t xml:space="preserve"> Edmonton: The Canadian Council for Donation and Transplantation.</w:t>
      </w:r>
    </w:p>
    <w:p w14:paraId="3F962569" w14:textId="77777777" w:rsidR="00C91DB8" w:rsidRPr="00F92157"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Canadian Council for Donation and Transplantation. (2003). </w:t>
      </w:r>
      <w:r w:rsidRPr="00F92157">
        <w:rPr>
          <w:rFonts w:asciiTheme="minorHAnsi" w:hAnsiTheme="minorHAnsi" w:cstheme="minorHAnsi"/>
          <w:i/>
          <w:iCs/>
        </w:rPr>
        <w:t>Severe brain injury to neurological determination of death: A Canadian forum: Report and recommendations. April 9-11, 2003.</w:t>
      </w:r>
      <w:r w:rsidRPr="00F92157">
        <w:rPr>
          <w:rFonts w:asciiTheme="minorHAnsi" w:hAnsiTheme="minorHAnsi" w:cstheme="minorHAnsi"/>
        </w:rPr>
        <w:t xml:space="preserve"> Vancouver, B.C.</w:t>
      </w:r>
    </w:p>
    <w:p w14:paraId="7E260974" w14:textId="77777777" w:rsidR="00C91DB8" w:rsidRPr="00F92157"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Canadian Council for Donation and Transplantation. (2007). </w:t>
      </w:r>
      <w:r w:rsidRPr="00F92157">
        <w:rPr>
          <w:rFonts w:asciiTheme="minorHAnsi" w:hAnsiTheme="minorHAnsi" w:cstheme="minorHAnsi"/>
          <w:i/>
          <w:iCs/>
        </w:rPr>
        <w:t>Brain blood flow in the neurological determination of death: Expert consensus meeting report. November 16, 2006.</w:t>
      </w:r>
      <w:r w:rsidRPr="00F92157">
        <w:rPr>
          <w:rFonts w:asciiTheme="minorHAnsi" w:hAnsiTheme="minorHAnsi" w:cstheme="minorHAnsi"/>
        </w:rPr>
        <w:t xml:space="preserve"> Montreal, PQ.  </w:t>
      </w:r>
    </w:p>
    <w:p w14:paraId="14459EF4" w14:textId="77777777" w:rsidR="00C91DB8" w:rsidRPr="00F92157"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Jain, S., &amp; DeGeorgia, M.  (2005). Brain Death-Associated Reflexes and Automatisms.  </w:t>
      </w:r>
      <w:r w:rsidRPr="00F92157">
        <w:rPr>
          <w:rFonts w:asciiTheme="minorHAnsi" w:hAnsiTheme="minorHAnsi" w:cstheme="minorHAnsi"/>
          <w:i/>
          <w:iCs/>
        </w:rPr>
        <w:t>Neurocritical Care, 3</w:t>
      </w:r>
      <w:r w:rsidRPr="00F92157">
        <w:rPr>
          <w:rFonts w:asciiTheme="minorHAnsi" w:hAnsiTheme="minorHAnsi" w:cstheme="minorHAnsi"/>
        </w:rPr>
        <w:t>(2): 122-126.</w:t>
      </w:r>
    </w:p>
    <w:p w14:paraId="4DEFBB33" w14:textId="77777777" w:rsidR="00C91DB8" w:rsidRPr="00F92157"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Levesque, S., Lessard, M.R., Nicole, P.C., Langevin, S., LeBlanc, F., &amp; Lauzier, F. et al. (2006). Efficacy of a t-piece system and a continuous positive airway pressure system for apnea testing in the diagnosis of brain death. </w:t>
      </w:r>
      <w:r w:rsidRPr="00F92157">
        <w:rPr>
          <w:rFonts w:asciiTheme="minorHAnsi" w:hAnsiTheme="minorHAnsi" w:cstheme="minorHAnsi"/>
          <w:i/>
          <w:iCs/>
        </w:rPr>
        <w:t>Critical Care Medicine, 34</w:t>
      </w:r>
      <w:r w:rsidRPr="00F92157">
        <w:rPr>
          <w:rFonts w:asciiTheme="minorHAnsi" w:hAnsiTheme="minorHAnsi" w:cstheme="minorHAnsi"/>
        </w:rPr>
        <w:t>(8), 2213-2216.</w:t>
      </w:r>
    </w:p>
    <w:p w14:paraId="00ED7517" w14:textId="77777777" w:rsidR="00C91DB8" w:rsidRPr="00C76FCB" w:rsidRDefault="00C91DB8" w:rsidP="00C91DB8">
      <w:pPr>
        <w:spacing w:after="0" w:line="300" w:lineRule="auto"/>
        <w:ind w:left="720" w:hanging="720"/>
        <w:rPr>
          <w:rFonts w:asciiTheme="minorHAnsi" w:hAnsiTheme="minorHAnsi" w:cstheme="minorHAnsi"/>
        </w:rPr>
      </w:pPr>
      <w:r w:rsidRPr="00F92157">
        <w:rPr>
          <w:rFonts w:asciiTheme="minorHAnsi" w:hAnsiTheme="minorHAnsi" w:cstheme="minorHAnsi"/>
        </w:rPr>
        <w:t xml:space="preserve">Shemie, S.D., Doig, C., Dickens, B., Byrne, P., Wheelcock, B., &amp; Rocker, G., et al. (2005). Severe brain injury to neurological determination of death: Canadian forum recommendations. </w:t>
      </w:r>
      <w:r w:rsidRPr="00F92157">
        <w:rPr>
          <w:rFonts w:asciiTheme="minorHAnsi" w:hAnsiTheme="minorHAnsi" w:cstheme="minorHAnsi"/>
          <w:i/>
          <w:iCs/>
        </w:rPr>
        <w:t>Canadian Medical Association Journal, 174</w:t>
      </w:r>
      <w:r w:rsidRPr="00F92157">
        <w:rPr>
          <w:rFonts w:asciiTheme="minorHAnsi" w:hAnsiTheme="minorHAnsi" w:cstheme="minorHAnsi"/>
        </w:rPr>
        <w:t>(6):s1-12.</w:t>
      </w:r>
    </w:p>
    <w:p w14:paraId="30B19380" w14:textId="77777777" w:rsidR="00C91DB8" w:rsidRPr="00626B44" w:rsidRDefault="00C91DB8" w:rsidP="00C91DB8">
      <w:pPr>
        <w:spacing w:after="0" w:line="300" w:lineRule="auto"/>
        <w:ind w:left="720" w:hanging="720"/>
        <w:rPr>
          <w:rFonts w:asciiTheme="minorHAnsi" w:hAnsiTheme="minorHAnsi" w:cstheme="minorHAnsi"/>
          <w:color w:val="333333"/>
          <w:shd w:val="clear" w:color="auto" w:fill="FCFCFC"/>
        </w:rPr>
      </w:pPr>
      <w:r w:rsidRPr="00626B44">
        <w:rPr>
          <w:rFonts w:asciiTheme="minorHAnsi" w:hAnsiTheme="minorHAnsi" w:cstheme="minorHAnsi"/>
          <w:color w:val="333333"/>
          <w:shd w:val="clear" w:color="auto" w:fill="FCFCFC"/>
        </w:rPr>
        <w:t>Shemie, S.D., Wilson, L.C., Hornby, L. </w:t>
      </w:r>
      <w:r w:rsidRPr="00626B44">
        <w:rPr>
          <w:rFonts w:asciiTheme="minorHAnsi" w:hAnsiTheme="minorHAnsi" w:cstheme="minorHAnsi"/>
          <w:i/>
          <w:iCs/>
          <w:color w:val="333333"/>
          <w:shd w:val="clear" w:color="auto" w:fill="FCFCFC"/>
        </w:rPr>
        <w:t>et al.</w:t>
      </w:r>
      <w:r w:rsidRPr="00626B44">
        <w:rPr>
          <w:rFonts w:asciiTheme="minorHAnsi" w:hAnsiTheme="minorHAnsi" w:cstheme="minorHAnsi"/>
          <w:color w:val="333333"/>
          <w:shd w:val="clear" w:color="auto" w:fill="FCFCFC"/>
        </w:rPr>
        <w:t> A brain-based definition of death and criteria for its determination after arrest of circulation or neurologic function in Canada: a 2023 clinical practice guideline. </w:t>
      </w:r>
      <w:r w:rsidRPr="00626B44">
        <w:rPr>
          <w:rFonts w:asciiTheme="minorHAnsi" w:hAnsiTheme="minorHAnsi" w:cstheme="minorHAnsi"/>
          <w:i/>
          <w:iCs/>
          <w:color w:val="333333"/>
          <w:shd w:val="clear" w:color="auto" w:fill="FCFCFC"/>
        </w:rPr>
        <w:t>Can J Anesth/J Can Anesth</w:t>
      </w:r>
      <w:r w:rsidRPr="00626B44">
        <w:rPr>
          <w:rFonts w:asciiTheme="minorHAnsi" w:hAnsiTheme="minorHAnsi" w:cstheme="minorHAnsi"/>
          <w:color w:val="333333"/>
          <w:shd w:val="clear" w:color="auto" w:fill="FCFCFC"/>
        </w:rPr>
        <w:t> (2023). https://doi.org/10.1007/s12630-023-02431-4.</w:t>
      </w:r>
    </w:p>
    <w:p w14:paraId="27746C6B" w14:textId="77777777" w:rsidR="00C91DB8" w:rsidRPr="00C76FCB" w:rsidRDefault="00C91DB8" w:rsidP="00C91DB8">
      <w:pPr>
        <w:spacing w:after="0" w:line="300" w:lineRule="auto"/>
        <w:ind w:left="720" w:hanging="720"/>
        <w:rPr>
          <w:rFonts w:asciiTheme="minorHAnsi" w:hAnsiTheme="minorHAnsi" w:cstheme="minorHAnsi"/>
        </w:rPr>
      </w:pPr>
      <w:r w:rsidRPr="00C76FCB">
        <w:rPr>
          <w:rFonts w:asciiTheme="minorHAnsi" w:hAnsiTheme="minorHAnsi" w:cstheme="minorHAnsi"/>
        </w:rPr>
        <w:t xml:space="preserve">Wijdicks, E.F.M. (2001). The diagnosis of brain death. </w:t>
      </w:r>
      <w:r w:rsidRPr="00C76FCB">
        <w:rPr>
          <w:rFonts w:asciiTheme="minorHAnsi" w:hAnsiTheme="minorHAnsi" w:cstheme="minorHAnsi"/>
          <w:i/>
          <w:iCs/>
        </w:rPr>
        <w:t>New England Journal of Medicine, 344</w:t>
      </w:r>
      <w:r w:rsidRPr="00C76FCB">
        <w:rPr>
          <w:rFonts w:asciiTheme="minorHAnsi" w:hAnsiTheme="minorHAnsi" w:cstheme="minorHAnsi"/>
        </w:rPr>
        <w:t xml:space="preserve">(16), 1215-1221.  </w:t>
      </w:r>
    </w:p>
    <w:p w14:paraId="38701ED3" w14:textId="77777777" w:rsidR="00C91DB8" w:rsidRPr="00C76FCB" w:rsidRDefault="00C91DB8" w:rsidP="00C91DB8">
      <w:pPr>
        <w:spacing w:after="0" w:line="300" w:lineRule="auto"/>
        <w:ind w:left="720" w:hanging="720"/>
        <w:rPr>
          <w:rFonts w:asciiTheme="minorHAnsi" w:hAnsiTheme="minorHAnsi" w:cstheme="minorHAnsi"/>
        </w:rPr>
      </w:pPr>
      <w:r w:rsidRPr="00C76FCB">
        <w:rPr>
          <w:rFonts w:asciiTheme="minorHAnsi" w:hAnsiTheme="minorHAnsi" w:cstheme="minorHAnsi"/>
        </w:rPr>
        <w:t xml:space="preserve">Wijdicks, E.F.M., Varelas, P.N., Gronseth, G.S., &amp; Greer, D.M. (2010). Evidence-based guideline update: Determining brain death in adults. </w:t>
      </w:r>
      <w:r w:rsidRPr="00C76FCB">
        <w:rPr>
          <w:rFonts w:asciiTheme="minorHAnsi" w:hAnsiTheme="minorHAnsi" w:cstheme="minorHAnsi"/>
          <w:i/>
          <w:iCs/>
        </w:rPr>
        <w:t>Neurology, 74</w:t>
      </w:r>
      <w:r w:rsidRPr="00C76FCB">
        <w:rPr>
          <w:rFonts w:asciiTheme="minorHAnsi" w:hAnsiTheme="minorHAnsi" w:cstheme="minorHAnsi"/>
        </w:rPr>
        <w:t>, 1911-1918.</w:t>
      </w:r>
    </w:p>
    <w:p w14:paraId="405B4D98" w14:textId="77777777" w:rsidR="00C91DB8" w:rsidRPr="00C76FCB" w:rsidRDefault="00C91DB8" w:rsidP="00C91DB8">
      <w:pPr>
        <w:spacing w:line="300" w:lineRule="auto"/>
        <w:rPr>
          <w:rFonts w:asciiTheme="minorHAnsi" w:hAnsiTheme="minorHAnsi" w:cstheme="minorHAnsi"/>
        </w:rPr>
      </w:pPr>
      <w:r w:rsidRPr="00C76FCB">
        <w:rPr>
          <w:rFonts w:asciiTheme="minorHAnsi" w:hAnsiTheme="minorHAnsi" w:cstheme="minorHAnsi"/>
        </w:rPr>
        <w:br w:type="page"/>
      </w:r>
    </w:p>
    <w:p w14:paraId="09BCA693" w14:textId="77777777" w:rsidR="00C91DB8" w:rsidRPr="0078543A" w:rsidRDefault="00C91DB8" w:rsidP="00C91DB8">
      <w:pPr>
        <w:spacing w:line="300" w:lineRule="auto"/>
        <w:jc w:val="center"/>
        <w:rPr>
          <w:rFonts w:asciiTheme="minorHAnsi" w:hAnsiTheme="minorHAnsi" w:cstheme="minorHAnsi"/>
          <w:b/>
          <w:sz w:val="28"/>
        </w:rPr>
      </w:pPr>
      <w:r w:rsidRPr="0078543A">
        <w:rPr>
          <w:rFonts w:asciiTheme="minorHAnsi" w:hAnsiTheme="minorHAnsi" w:cstheme="minorHAnsi"/>
          <w:b/>
          <w:sz w:val="28"/>
        </w:rPr>
        <w:lastRenderedPageBreak/>
        <w:t>Appendix A: Confounding Factors</w:t>
      </w:r>
    </w:p>
    <w:p w14:paraId="254F0D87" w14:textId="77777777" w:rsidR="00C91DB8" w:rsidRPr="00C76FCB" w:rsidRDefault="00C91DB8" w:rsidP="00C91DB8">
      <w:pPr>
        <w:spacing w:line="300" w:lineRule="auto"/>
        <w:rPr>
          <w:rFonts w:asciiTheme="minorHAnsi" w:hAnsiTheme="minorHAnsi" w:cstheme="minorHAnsi"/>
          <w:u w:val="single"/>
        </w:rPr>
      </w:pPr>
      <w:r w:rsidRPr="00C76FCB">
        <w:rPr>
          <w:rFonts w:asciiTheme="minorHAnsi" w:hAnsiTheme="minorHAnsi" w:cstheme="minorHAnsi"/>
          <w:b/>
          <w:u w:val="single"/>
        </w:rPr>
        <w:t>Include but are not limited to:</w:t>
      </w:r>
      <w:r w:rsidRPr="00C76FCB" w:rsidDel="00853F2D">
        <w:rPr>
          <w:rFonts w:asciiTheme="minorHAnsi" w:hAnsiTheme="minorHAnsi" w:cstheme="minorHAnsi"/>
          <w:b/>
          <w:u w:val="single"/>
        </w:rPr>
        <w:t xml:space="preserve"> </w:t>
      </w:r>
    </w:p>
    <w:p w14:paraId="64C6A964" w14:textId="77777777" w:rsidR="00C91DB8"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Pr>
          <w:rFonts w:asciiTheme="minorHAnsi" w:hAnsiTheme="minorHAnsi" w:cstheme="minorHAnsi"/>
        </w:rPr>
        <w:t>Less than 48 hours from return of spontaneous circulation following cardiac arrest</w:t>
      </w:r>
    </w:p>
    <w:p w14:paraId="345D47C2"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Unresuscitated shock</w:t>
      </w:r>
    </w:p>
    <w:p w14:paraId="79969C90"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 xml:space="preserve">Hypothermia </w:t>
      </w:r>
    </w:p>
    <w:p w14:paraId="22013E45"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Drug intoxications</w:t>
      </w:r>
    </w:p>
    <w:p w14:paraId="24BE9D95"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Administration of cy</w:t>
      </w:r>
      <w:r>
        <w:rPr>
          <w:rFonts w:asciiTheme="minorHAnsi" w:hAnsiTheme="minorHAnsi" w:cstheme="minorHAnsi"/>
        </w:rPr>
        <w:t>c</w:t>
      </w:r>
      <w:r w:rsidRPr="00C76FCB">
        <w:rPr>
          <w:rFonts w:asciiTheme="minorHAnsi" w:hAnsiTheme="minorHAnsi" w:cstheme="minorHAnsi"/>
        </w:rPr>
        <w:t>loplegic or muscle relaxant drugs</w:t>
      </w:r>
    </w:p>
    <w:p w14:paraId="3FB01FAA"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Neuromuscular pathology</w:t>
      </w:r>
    </w:p>
    <w:p w14:paraId="62BBA1FC"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Recent decompressive craniectomy</w:t>
      </w:r>
    </w:p>
    <w:p w14:paraId="53422998"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Spinal cord injury</w:t>
      </w:r>
    </w:p>
    <w:p w14:paraId="2C429F63"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Pr>
          <w:rFonts w:asciiTheme="minorHAnsi" w:hAnsiTheme="minorHAnsi" w:cstheme="minorHAnsi"/>
        </w:rPr>
        <w:t xml:space="preserve">Isolated brainstem or infratentorial brain injury </w:t>
      </w:r>
    </w:p>
    <w:p w14:paraId="12E95369" w14:textId="77777777" w:rsidR="00C91DB8" w:rsidRPr="00C76FCB"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Severe metabolic disorders such as:</w:t>
      </w:r>
    </w:p>
    <w:p w14:paraId="1C31B0B3" w14:textId="77777777" w:rsidR="00C91DB8" w:rsidRPr="00C76FCB" w:rsidRDefault="00C91DB8" w:rsidP="00C91DB8">
      <w:pPr>
        <w:numPr>
          <w:ilvl w:val="1"/>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Hypoglycaemia</w:t>
      </w:r>
    </w:p>
    <w:p w14:paraId="3954766E" w14:textId="77777777" w:rsidR="00C91DB8" w:rsidRPr="00C76FCB" w:rsidRDefault="00C91DB8" w:rsidP="00C91DB8">
      <w:pPr>
        <w:numPr>
          <w:ilvl w:val="1"/>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Sever hypophosphatemia</w:t>
      </w:r>
    </w:p>
    <w:p w14:paraId="785024A9" w14:textId="77777777" w:rsidR="00C91DB8" w:rsidRPr="00C76FCB" w:rsidRDefault="00C91DB8" w:rsidP="00C91DB8">
      <w:pPr>
        <w:numPr>
          <w:ilvl w:val="1"/>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Hypernatremia</w:t>
      </w:r>
    </w:p>
    <w:p w14:paraId="359B6B45" w14:textId="77777777" w:rsidR="00C91DB8" w:rsidRDefault="00C91DB8" w:rsidP="00C91DB8">
      <w:pPr>
        <w:numPr>
          <w:ilvl w:val="0"/>
          <w:numId w:val="21"/>
        </w:numPr>
        <w:suppressAutoHyphens w:val="0"/>
        <w:autoSpaceDE/>
        <w:autoSpaceDN/>
        <w:adjustRightInd/>
        <w:spacing w:after="0" w:line="300" w:lineRule="auto"/>
        <w:textAlignment w:val="auto"/>
        <w:rPr>
          <w:rFonts w:asciiTheme="minorHAnsi" w:hAnsiTheme="minorHAnsi" w:cstheme="minorHAnsi"/>
        </w:rPr>
      </w:pPr>
      <w:r w:rsidRPr="00C76FCB">
        <w:rPr>
          <w:rFonts w:asciiTheme="minorHAnsi" w:hAnsiTheme="minorHAnsi" w:cstheme="minorHAnsi"/>
        </w:rPr>
        <w:t>Severe liver or renal dysfunction</w:t>
      </w:r>
    </w:p>
    <w:p w14:paraId="266F03EB" w14:textId="77777777" w:rsidR="00C91DB8" w:rsidRPr="00C76FCB" w:rsidRDefault="00C91DB8" w:rsidP="00C91DB8">
      <w:pPr>
        <w:spacing w:after="0" w:line="300" w:lineRule="auto"/>
        <w:rPr>
          <w:rFonts w:asciiTheme="minorHAnsi" w:hAnsiTheme="minorHAnsi" w:cstheme="minorHAnsi"/>
        </w:rPr>
      </w:pPr>
    </w:p>
    <w:p w14:paraId="0BF61DA6" w14:textId="77777777" w:rsidR="00C91DB8" w:rsidRPr="00112128" w:rsidRDefault="00C91DB8" w:rsidP="00C91DB8">
      <w:r w:rsidRPr="00112128">
        <w:t xml:space="preserve">Prior to the clinical </w:t>
      </w:r>
      <w:r>
        <w:t>assessment</w:t>
      </w:r>
      <w:r w:rsidRPr="00112128">
        <w:t xml:space="preserve"> for DNC, the MRP should jointly complete the </w:t>
      </w:r>
      <w:r w:rsidRPr="00112128">
        <w:rPr>
          <w:i/>
        </w:rPr>
        <w:t>Death Determination by Neurologic Criteria Confounding Factors Checklist</w:t>
      </w:r>
      <w:r w:rsidRPr="00112128">
        <w:t xml:space="preserve"> with the Ontario Health (TGLN) Coordinator.  For every case, the MRP should obtain the most up-to-date </w:t>
      </w:r>
      <w:r w:rsidRPr="00112128">
        <w:rPr>
          <w:i/>
        </w:rPr>
        <w:t>Death Determination by Neurologic Criteria Confounding Factors Checklist</w:t>
      </w:r>
      <w:r w:rsidRPr="00112128">
        <w:t xml:space="preserve"> and </w:t>
      </w:r>
      <w:r w:rsidRPr="00112128">
        <w:rPr>
          <w:i/>
        </w:rPr>
        <w:t>Confirmation of Death Determination by Neurologic Criteria</w:t>
      </w:r>
      <w:r>
        <w:rPr>
          <w:i/>
        </w:rPr>
        <w:t xml:space="preserve"> (DNC)</w:t>
      </w:r>
      <w:r w:rsidRPr="00112128">
        <w:t xml:space="preserve"> form from the Ontario Health (TGLN) Coordinator.</w:t>
      </w:r>
    </w:p>
    <w:p w14:paraId="7BDC2385" w14:textId="77777777" w:rsidR="00C91DB8" w:rsidRPr="006E447D" w:rsidRDefault="00C91DB8" w:rsidP="00C91DB8">
      <w:pPr>
        <w:spacing w:after="0" w:line="300" w:lineRule="auto"/>
        <w:rPr>
          <w:rFonts w:asciiTheme="minorHAnsi" w:hAnsiTheme="minorHAnsi" w:cstheme="minorHAnsi"/>
          <w:b/>
        </w:rPr>
      </w:pPr>
      <w:r w:rsidRPr="006E447D">
        <w:rPr>
          <w:rFonts w:asciiTheme="minorHAnsi" w:hAnsiTheme="minorHAnsi" w:cstheme="minorHAnsi"/>
          <w:b/>
        </w:rPr>
        <w:t xml:space="preserve">Sources: </w:t>
      </w:r>
    </w:p>
    <w:p w14:paraId="3CE00811" w14:textId="77777777" w:rsidR="00C91DB8" w:rsidRPr="00F92157" w:rsidRDefault="00C91DB8" w:rsidP="00C91DB8">
      <w:pPr>
        <w:spacing w:after="0" w:line="300" w:lineRule="auto"/>
        <w:ind w:left="720" w:hanging="720"/>
        <w:contextualSpacing/>
        <w:rPr>
          <w:rFonts w:asciiTheme="minorHAnsi" w:hAnsiTheme="minorHAnsi" w:cstheme="minorHAnsi"/>
        </w:rPr>
      </w:pPr>
      <w:r w:rsidRPr="00F92157">
        <w:rPr>
          <w:rFonts w:asciiTheme="minorHAnsi" w:hAnsiTheme="minorHAnsi" w:cstheme="minorHAnsi"/>
        </w:rPr>
        <w:t xml:space="preserve">Canadian Council for Donation and Transplantation. (2003). </w:t>
      </w:r>
      <w:r w:rsidRPr="00F92157">
        <w:rPr>
          <w:rFonts w:asciiTheme="minorHAnsi" w:hAnsiTheme="minorHAnsi" w:cstheme="minorHAnsi"/>
          <w:i/>
        </w:rPr>
        <w:t>Severe brain injury to neurological determination of death: A Canadian forum: Report and recommendations.</w:t>
      </w:r>
      <w:r w:rsidRPr="00F92157">
        <w:rPr>
          <w:rFonts w:asciiTheme="minorHAnsi" w:hAnsiTheme="minorHAnsi" w:cstheme="minorHAnsi"/>
        </w:rPr>
        <w:t xml:space="preserve"> April 9-11, 2003, Vancouver, British Columbia.</w:t>
      </w:r>
    </w:p>
    <w:p w14:paraId="79A23DC1" w14:textId="77777777" w:rsidR="00C91DB8" w:rsidRPr="00626B44" w:rsidRDefault="00C91DB8" w:rsidP="00C91DB8">
      <w:pPr>
        <w:spacing w:after="0" w:line="300" w:lineRule="auto"/>
        <w:ind w:left="720" w:hanging="720"/>
        <w:rPr>
          <w:rFonts w:asciiTheme="minorHAnsi" w:hAnsiTheme="minorHAnsi" w:cstheme="minorHAnsi"/>
          <w:color w:val="333333"/>
          <w:shd w:val="clear" w:color="auto" w:fill="FCFCFC"/>
        </w:rPr>
      </w:pPr>
      <w:r w:rsidRPr="00626B44">
        <w:rPr>
          <w:rFonts w:asciiTheme="minorHAnsi" w:hAnsiTheme="minorHAnsi" w:cstheme="minorHAnsi"/>
          <w:color w:val="333333"/>
          <w:shd w:val="clear" w:color="auto" w:fill="FCFCFC"/>
        </w:rPr>
        <w:t>Shemie, S.D., Wilson, L.C., Hornby, L. </w:t>
      </w:r>
      <w:r w:rsidRPr="00626B44">
        <w:rPr>
          <w:rFonts w:asciiTheme="minorHAnsi" w:hAnsiTheme="minorHAnsi" w:cstheme="minorHAnsi"/>
          <w:i/>
          <w:iCs/>
          <w:color w:val="333333"/>
          <w:shd w:val="clear" w:color="auto" w:fill="FCFCFC"/>
        </w:rPr>
        <w:t>et al.</w:t>
      </w:r>
      <w:r w:rsidRPr="00626B44">
        <w:rPr>
          <w:rFonts w:asciiTheme="minorHAnsi" w:hAnsiTheme="minorHAnsi" w:cstheme="minorHAnsi"/>
          <w:color w:val="333333"/>
          <w:shd w:val="clear" w:color="auto" w:fill="FCFCFC"/>
        </w:rPr>
        <w:t> A brain-based definition of death and criteria for its determination after arrest of circulation or neurologic function in Canada: a 2023 clinical practice guideline. </w:t>
      </w:r>
      <w:r w:rsidRPr="00626B44">
        <w:rPr>
          <w:rFonts w:asciiTheme="minorHAnsi" w:hAnsiTheme="minorHAnsi" w:cstheme="minorHAnsi"/>
          <w:i/>
          <w:iCs/>
          <w:color w:val="333333"/>
          <w:shd w:val="clear" w:color="auto" w:fill="FCFCFC"/>
        </w:rPr>
        <w:t>Can J Anesth/J Can Anesth</w:t>
      </w:r>
      <w:r w:rsidRPr="00626B44">
        <w:rPr>
          <w:rFonts w:asciiTheme="minorHAnsi" w:hAnsiTheme="minorHAnsi" w:cstheme="minorHAnsi"/>
          <w:color w:val="333333"/>
          <w:shd w:val="clear" w:color="auto" w:fill="FCFCFC"/>
        </w:rPr>
        <w:t> (2023). https://doi.org/10.1007/s12630-023-02431-4.</w:t>
      </w:r>
    </w:p>
    <w:p w14:paraId="6027FD30" w14:textId="77777777" w:rsidR="00C91DB8" w:rsidRPr="00F92157" w:rsidRDefault="00C91DB8" w:rsidP="00C91DB8">
      <w:pPr>
        <w:spacing w:after="0" w:line="300" w:lineRule="auto"/>
        <w:ind w:left="720" w:hanging="720"/>
        <w:contextualSpacing/>
        <w:rPr>
          <w:rFonts w:asciiTheme="minorHAnsi" w:hAnsiTheme="minorHAnsi" w:cstheme="minorHAnsi"/>
          <w:i/>
          <w:iCs/>
        </w:rPr>
      </w:pPr>
      <w:r w:rsidRPr="00F92157">
        <w:rPr>
          <w:rFonts w:asciiTheme="minorHAnsi" w:hAnsiTheme="minorHAnsi" w:cstheme="minorHAnsi"/>
        </w:rPr>
        <w:t xml:space="preserve">Ontario Health (Trillium Gift of Life Network). (2021). </w:t>
      </w:r>
      <w:r w:rsidRPr="00F92157">
        <w:rPr>
          <w:rFonts w:asciiTheme="minorHAnsi" w:hAnsiTheme="minorHAnsi" w:cstheme="minorHAnsi"/>
          <w:i/>
          <w:iCs/>
        </w:rPr>
        <w:t>CSF-9-5</w:t>
      </w:r>
      <w:r w:rsidRPr="00F92157">
        <w:rPr>
          <w:rFonts w:asciiTheme="minorHAnsi" w:hAnsiTheme="minorHAnsi" w:cstheme="minorHAnsi"/>
        </w:rPr>
        <w:t xml:space="preserve"> </w:t>
      </w:r>
      <w:r w:rsidRPr="00F92157">
        <w:rPr>
          <w:rFonts w:asciiTheme="minorHAnsi" w:hAnsiTheme="minorHAnsi" w:cstheme="minorHAnsi"/>
          <w:i/>
          <w:iCs/>
        </w:rPr>
        <w:t>Guidelines for the death determination by neurologic criteria (DNC) for the purposes of organ donation in Ontario: Adult and pediatric patients 1 year and older.</w:t>
      </w:r>
    </w:p>
    <w:p w14:paraId="7928FFD0" w14:textId="77777777" w:rsidR="00C91DB8" w:rsidRPr="00C76FCB" w:rsidRDefault="00C91DB8" w:rsidP="00C91DB8">
      <w:pPr>
        <w:spacing w:after="0" w:line="300" w:lineRule="auto"/>
        <w:ind w:left="720" w:hanging="720"/>
        <w:contextualSpacing/>
        <w:rPr>
          <w:rFonts w:asciiTheme="minorHAnsi" w:hAnsiTheme="minorHAnsi" w:cstheme="minorHAnsi"/>
        </w:rPr>
      </w:pPr>
      <w:r w:rsidRPr="00F92157">
        <w:rPr>
          <w:rFonts w:asciiTheme="minorHAnsi" w:hAnsiTheme="minorHAnsi" w:cstheme="minorHAnsi"/>
        </w:rPr>
        <w:t xml:space="preserve">Ontario Health (Trillium Gift of Life Network). (2021). </w:t>
      </w:r>
      <w:r w:rsidRPr="00F92157">
        <w:rPr>
          <w:rFonts w:asciiTheme="minorHAnsi" w:hAnsiTheme="minorHAnsi" w:cstheme="minorHAnsi"/>
          <w:i/>
          <w:iCs/>
        </w:rPr>
        <w:t>CSF-9-201</w:t>
      </w:r>
      <w:r w:rsidRPr="00F92157">
        <w:rPr>
          <w:rFonts w:asciiTheme="minorHAnsi" w:hAnsiTheme="minorHAnsi" w:cstheme="minorHAnsi"/>
        </w:rPr>
        <w:t xml:space="preserve"> </w:t>
      </w:r>
      <w:r w:rsidRPr="00F92157">
        <w:rPr>
          <w:rFonts w:asciiTheme="minorHAnsi" w:hAnsiTheme="minorHAnsi" w:cstheme="minorHAnsi"/>
          <w:i/>
          <w:iCs/>
        </w:rPr>
        <w:t>Death determination by neurologic criteria confounding factors checklist.</w:t>
      </w:r>
    </w:p>
    <w:p w14:paraId="34EAC58D" w14:textId="07ABA673" w:rsidR="00C91DB8" w:rsidRDefault="00C91DB8" w:rsidP="00626B44">
      <w:pPr>
        <w:spacing w:after="0" w:line="240" w:lineRule="auto"/>
        <w:jc w:val="center"/>
        <w:rPr>
          <w:rFonts w:asciiTheme="minorHAnsi" w:hAnsiTheme="minorHAnsi" w:cstheme="minorHAnsi"/>
          <w:b/>
          <w:sz w:val="28"/>
        </w:rPr>
      </w:pPr>
      <w:r>
        <w:rPr>
          <w:rFonts w:asciiTheme="minorHAnsi" w:hAnsiTheme="minorHAnsi" w:cstheme="minorHAnsi"/>
          <w:b/>
        </w:rPr>
        <w:br w:type="page"/>
      </w:r>
      <w:r w:rsidRPr="0078543A">
        <w:rPr>
          <w:rFonts w:asciiTheme="minorHAnsi" w:hAnsiTheme="minorHAnsi" w:cstheme="minorHAnsi"/>
          <w:b/>
          <w:sz w:val="28"/>
        </w:rPr>
        <w:lastRenderedPageBreak/>
        <w:t>Appendix B: Apnea Test</w:t>
      </w:r>
      <w:r w:rsidR="00626B44">
        <w:rPr>
          <w:rFonts w:asciiTheme="minorHAnsi" w:hAnsiTheme="minorHAnsi" w:cstheme="minorHAnsi"/>
          <w:b/>
          <w:sz w:val="28"/>
        </w:rPr>
        <w:t>ing</w:t>
      </w:r>
      <w:r w:rsidRPr="0078543A">
        <w:rPr>
          <w:rFonts w:asciiTheme="minorHAnsi" w:hAnsiTheme="minorHAnsi" w:cstheme="minorHAnsi"/>
          <w:b/>
          <w:sz w:val="28"/>
        </w:rPr>
        <w:t xml:space="preserve"> Guidelines</w:t>
      </w:r>
    </w:p>
    <w:p w14:paraId="2DA976C9" w14:textId="77777777" w:rsidR="00C91DB8" w:rsidRPr="00C76FCB" w:rsidRDefault="00C91DB8" w:rsidP="00C91DB8">
      <w:pPr>
        <w:spacing w:after="0" w:line="240" w:lineRule="auto"/>
        <w:rPr>
          <w:rFonts w:asciiTheme="minorHAnsi" w:hAnsiTheme="minorHAnsi" w:cstheme="minorHAnsi"/>
        </w:rPr>
      </w:pPr>
    </w:p>
    <w:tbl>
      <w:tblPr>
        <w:tblStyle w:val="TableGrid"/>
        <w:tblW w:w="10980" w:type="dxa"/>
        <w:tblInd w:w="-725" w:type="dxa"/>
        <w:tblLook w:val="04A0" w:firstRow="1" w:lastRow="0" w:firstColumn="1" w:lastColumn="0" w:noHBand="0" w:noVBand="1"/>
      </w:tblPr>
      <w:tblGrid>
        <w:gridCol w:w="10980"/>
      </w:tblGrid>
      <w:tr w:rsidR="00C91DB8" w:rsidRPr="00D6761E" w14:paraId="562DDC7D" w14:textId="77777777" w:rsidTr="00A505A8">
        <w:trPr>
          <w:trHeight w:val="359"/>
        </w:trPr>
        <w:tc>
          <w:tcPr>
            <w:tcW w:w="10980" w:type="dxa"/>
            <w:shd w:val="clear" w:color="auto" w:fill="D9D9D9" w:themeFill="background1" w:themeFillShade="D9"/>
            <w:vAlign w:val="center"/>
          </w:tcPr>
          <w:p w14:paraId="593EB836" w14:textId="77777777" w:rsidR="00C91DB8" w:rsidRPr="00D6761E" w:rsidRDefault="00C91DB8" w:rsidP="00A505A8">
            <w:pPr>
              <w:spacing w:after="0" w:line="300" w:lineRule="auto"/>
              <w:rPr>
                <w:b/>
                <w:sz w:val="28"/>
              </w:rPr>
            </w:pPr>
            <w:r w:rsidRPr="00912768">
              <w:rPr>
                <w:b/>
                <w:sz w:val="24"/>
              </w:rPr>
              <w:t>Prerequisites:</w:t>
            </w:r>
          </w:p>
        </w:tc>
      </w:tr>
      <w:tr w:rsidR="00C91DB8" w14:paraId="4EAB2AF7" w14:textId="77777777" w:rsidTr="00A505A8">
        <w:trPr>
          <w:trHeight w:val="440"/>
        </w:trPr>
        <w:tc>
          <w:tcPr>
            <w:tcW w:w="10980" w:type="dxa"/>
            <w:vAlign w:val="center"/>
          </w:tcPr>
          <w:p w14:paraId="38707E54" w14:textId="77777777" w:rsidR="00C91DB8" w:rsidRPr="0079735B" w:rsidRDefault="00C91DB8" w:rsidP="00A505A8">
            <w:pPr>
              <w:spacing w:after="0" w:line="300" w:lineRule="auto"/>
            </w:pPr>
            <w:r>
              <w:rPr>
                <w:rFonts w:asciiTheme="minorHAnsi" w:hAnsiTheme="minorHAnsi" w:cstheme="minorHAnsi"/>
              </w:rPr>
              <w:t>T</w:t>
            </w:r>
            <w:r w:rsidRPr="003E2C5A">
              <w:rPr>
                <w:rFonts w:asciiTheme="minorHAnsi" w:hAnsiTheme="minorHAnsi" w:cstheme="minorHAnsi"/>
              </w:rPr>
              <w:t>he apnea test should be the final element of the clinical assessment</w:t>
            </w:r>
          </w:p>
        </w:tc>
      </w:tr>
      <w:tr w:rsidR="00C91DB8" w14:paraId="5C7989F1" w14:textId="77777777" w:rsidTr="00A505A8">
        <w:trPr>
          <w:trHeight w:val="350"/>
        </w:trPr>
        <w:tc>
          <w:tcPr>
            <w:tcW w:w="10980" w:type="dxa"/>
            <w:vAlign w:val="center"/>
          </w:tcPr>
          <w:p w14:paraId="179C2664" w14:textId="77777777" w:rsidR="00C91DB8" w:rsidRDefault="00C91DB8" w:rsidP="00A505A8">
            <w:pPr>
              <w:spacing w:after="0" w:line="300" w:lineRule="auto"/>
              <w:rPr>
                <w:sz w:val="28"/>
              </w:rPr>
            </w:pPr>
            <w:r w:rsidRPr="0079735B">
              <w:t>Arterial line insitu for frequent arterial blood gas draws</w:t>
            </w:r>
          </w:p>
        </w:tc>
      </w:tr>
      <w:tr w:rsidR="00C91DB8" w:rsidRPr="00C4518C" w14:paraId="23AA2FA8" w14:textId="77777777" w:rsidTr="00A505A8">
        <w:trPr>
          <w:trHeight w:val="1691"/>
        </w:trPr>
        <w:tc>
          <w:tcPr>
            <w:tcW w:w="10980" w:type="dxa"/>
            <w:vAlign w:val="center"/>
          </w:tcPr>
          <w:p w14:paraId="3DADC48F" w14:textId="77777777" w:rsidR="00C91DB8" w:rsidRPr="006F2F56" w:rsidRDefault="00C91DB8" w:rsidP="00C91DB8">
            <w:pPr>
              <w:numPr>
                <w:ilvl w:val="1"/>
                <w:numId w:val="22"/>
              </w:numPr>
              <w:suppressAutoHyphens w:val="0"/>
              <w:autoSpaceDE/>
              <w:autoSpaceDN/>
              <w:adjustRightInd/>
              <w:spacing w:after="0" w:line="240" w:lineRule="auto"/>
              <w:textAlignment w:val="auto"/>
              <w:rPr>
                <w:rFonts w:asciiTheme="minorHAnsi" w:hAnsiTheme="minorHAnsi" w:cstheme="minorHAnsi"/>
              </w:rPr>
            </w:pPr>
            <w:r w:rsidRPr="0079735B">
              <w:t>Attempt to normalize arterial blood gases</w:t>
            </w:r>
            <w:r>
              <w:t xml:space="preserve"> (ABG)</w:t>
            </w:r>
            <w:r w:rsidRPr="00D84DCB" w:rsidDel="00F76A1A">
              <w:t xml:space="preserve"> </w:t>
            </w:r>
            <w:r w:rsidRPr="006F2F56">
              <w:rPr>
                <w:rFonts w:asciiTheme="minorHAnsi" w:hAnsiTheme="minorHAnsi" w:cstheme="minorHAnsi"/>
              </w:rPr>
              <w:t>PaCO</w:t>
            </w:r>
            <w:r w:rsidRPr="006F2F56">
              <w:rPr>
                <w:rFonts w:asciiTheme="minorHAnsi" w:hAnsiTheme="minorHAnsi" w:cstheme="minorHAnsi"/>
                <w:vertAlign w:val="subscript"/>
              </w:rPr>
              <w:t>2</w:t>
            </w:r>
            <w:r w:rsidRPr="006F2F56">
              <w:rPr>
                <w:rFonts w:asciiTheme="minorHAnsi" w:hAnsiTheme="minorHAnsi" w:cstheme="minorHAnsi"/>
              </w:rPr>
              <w:t xml:space="preserve"> 35-45 mmHg</w:t>
            </w:r>
          </w:p>
          <w:p w14:paraId="4E5A6BE7" w14:textId="77777777" w:rsidR="00C91DB8" w:rsidRDefault="00C91DB8" w:rsidP="00C91DB8">
            <w:pPr>
              <w:numPr>
                <w:ilvl w:val="1"/>
                <w:numId w:val="22"/>
              </w:numPr>
              <w:suppressAutoHyphens w:val="0"/>
              <w:autoSpaceDE/>
              <w:autoSpaceDN/>
              <w:adjustRightInd/>
              <w:spacing w:after="0" w:line="240" w:lineRule="auto"/>
              <w:textAlignment w:val="auto"/>
              <w:rPr>
                <w:rFonts w:asciiTheme="minorHAnsi" w:hAnsiTheme="minorHAnsi" w:cstheme="minorHAnsi"/>
              </w:rPr>
            </w:pPr>
            <w:r w:rsidRPr="006F2F56">
              <w:rPr>
                <w:rFonts w:asciiTheme="minorHAnsi" w:hAnsiTheme="minorHAnsi" w:cstheme="minorHAnsi"/>
              </w:rPr>
              <w:t>pH 7.35-7.45</w:t>
            </w:r>
          </w:p>
          <w:p w14:paraId="7DEA6178" w14:textId="77777777" w:rsidR="00C91DB8" w:rsidRPr="00F76A1A" w:rsidRDefault="00C91DB8" w:rsidP="00A505A8">
            <w:pPr>
              <w:spacing w:after="0" w:line="300" w:lineRule="auto"/>
            </w:pPr>
            <w:r w:rsidRPr="5B381EC5">
              <w:rPr>
                <w:rFonts w:asciiTheme="minorHAnsi" w:hAnsiTheme="minorHAnsi" w:cstheme="minorBidi"/>
              </w:rPr>
              <w:t xml:space="preserve">Note: </w:t>
            </w:r>
            <w:r w:rsidRPr="009D65D6">
              <w:rPr>
                <w:rFonts w:asciiTheme="minorHAnsi" w:hAnsiTheme="minorHAnsi" w:cstheme="minorBidi"/>
              </w:rPr>
              <w:t xml:space="preserve">In instances where the patient has an abnormal baseline blood gas, expert consultation is required prior to apnea testing.  In some circumstances, an ancillary test will be required. </w:t>
            </w:r>
            <w:r w:rsidRPr="5B381EC5">
              <w:t xml:space="preserve">(e.g., </w:t>
            </w:r>
            <w:r>
              <w:t>c</w:t>
            </w:r>
            <w:r w:rsidRPr="5B381EC5">
              <w:t>hronic respiratory insufficiency with chronic CO</w:t>
            </w:r>
            <w:r w:rsidRPr="5B381EC5">
              <w:rPr>
                <w:vertAlign w:val="subscript"/>
              </w:rPr>
              <w:t xml:space="preserve">2 </w:t>
            </w:r>
            <w:r w:rsidRPr="5B381EC5">
              <w:t>retention)</w:t>
            </w:r>
          </w:p>
        </w:tc>
      </w:tr>
      <w:tr w:rsidR="00C91DB8" w14:paraId="51122A41" w14:textId="77777777" w:rsidTr="00A505A8">
        <w:trPr>
          <w:trHeight w:val="341"/>
        </w:trPr>
        <w:tc>
          <w:tcPr>
            <w:tcW w:w="10980" w:type="dxa"/>
            <w:vAlign w:val="center"/>
          </w:tcPr>
          <w:p w14:paraId="52F30BA2" w14:textId="77777777" w:rsidR="00C91DB8" w:rsidRDefault="00C91DB8" w:rsidP="00A505A8">
            <w:pPr>
              <w:spacing w:after="0" w:line="300" w:lineRule="auto"/>
              <w:rPr>
                <w:sz w:val="28"/>
              </w:rPr>
            </w:pPr>
            <w:r w:rsidRPr="006F2F56">
              <w:rPr>
                <w:rFonts w:asciiTheme="minorHAnsi" w:hAnsiTheme="minorHAnsi" w:cstheme="minorHAnsi"/>
              </w:rPr>
              <w:t>Obtain baseline arterial blood gas</w:t>
            </w:r>
            <w:r>
              <w:rPr>
                <w:rFonts w:asciiTheme="minorHAnsi" w:hAnsiTheme="minorHAnsi" w:cstheme="minorHAnsi"/>
              </w:rPr>
              <w:t xml:space="preserve"> (within 1 to 2 hours prior to death determination)</w:t>
            </w:r>
          </w:p>
        </w:tc>
      </w:tr>
      <w:tr w:rsidR="00C91DB8" w:rsidRPr="00C4518C" w14:paraId="354C6E6E" w14:textId="77777777" w:rsidTr="00A505A8">
        <w:trPr>
          <w:trHeight w:val="341"/>
        </w:trPr>
        <w:tc>
          <w:tcPr>
            <w:tcW w:w="10980" w:type="dxa"/>
            <w:shd w:val="clear" w:color="auto" w:fill="D9D9D9" w:themeFill="background1" w:themeFillShade="D9"/>
            <w:vAlign w:val="center"/>
          </w:tcPr>
          <w:p w14:paraId="40EBE8BD" w14:textId="4D24D637" w:rsidR="00C91DB8" w:rsidRPr="006F2F56" w:rsidRDefault="00C91DB8" w:rsidP="00A505A8">
            <w:pPr>
              <w:spacing w:after="0" w:line="300" w:lineRule="auto"/>
              <w:rPr>
                <w:rFonts w:asciiTheme="minorHAnsi" w:hAnsiTheme="minorHAnsi" w:cstheme="minorHAnsi"/>
              </w:rPr>
            </w:pPr>
            <w:r w:rsidRPr="001A028E">
              <w:rPr>
                <w:rFonts w:asciiTheme="minorHAnsi" w:hAnsiTheme="minorHAnsi" w:cstheme="minorHAnsi"/>
                <w:b/>
                <w:sz w:val="24"/>
              </w:rPr>
              <w:t>Diagnostic Criteria for Apnea Test</w:t>
            </w:r>
            <w:r w:rsidR="00626B44">
              <w:rPr>
                <w:rFonts w:asciiTheme="minorHAnsi" w:hAnsiTheme="minorHAnsi" w:cstheme="minorHAnsi"/>
                <w:b/>
                <w:sz w:val="24"/>
              </w:rPr>
              <w:t>ing</w:t>
            </w:r>
          </w:p>
        </w:tc>
      </w:tr>
      <w:tr w:rsidR="00C91DB8" w:rsidRPr="00C4518C" w14:paraId="2156A416" w14:textId="77777777" w:rsidTr="00A505A8">
        <w:trPr>
          <w:trHeight w:val="1727"/>
        </w:trPr>
        <w:tc>
          <w:tcPr>
            <w:tcW w:w="10980" w:type="dxa"/>
          </w:tcPr>
          <w:p w14:paraId="50354EA6" w14:textId="77777777" w:rsidR="00C91DB8" w:rsidRPr="005E5913" w:rsidRDefault="00C91DB8" w:rsidP="00A505A8">
            <w:pPr>
              <w:spacing w:after="0" w:line="300" w:lineRule="auto"/>
              <w:rPr>
                <w:rFonts w:asciiTheme="minorHAnsi" w:hAnsiTheme="minorHAnsi" w:cstheme="minorHAnsi"/>
              </w:rPr>
            </w:pPr>
            <w:r w:rsidRPr="005E5913">
              <w:rPr>
                <w:rFonts w:asciiTheme="minorHAnsi" w:hAnsiTheme="minorHAnsi" w:cstheme="minorHAnsi"/>
              </w:rPr>
              <w:t>No respiratory efforts are observed after a maximal respiratory stimulus defined by an arterial blood gas with all</w:t>
            </w:r>
            <w:r>
              <w:rPr>
                <w:rFonts w:asciiTheme="minorHAnsi" w:hAnsiTheme="minorHAnsi" w:cstheme="minorHAnsi"/>
              </w:rPr>
              <w:t xml:space="preserve"> of the following</w:t>
            </w:r>
            <w:r w:rsidRPr="005E5913">
              <w:rPr>
                <w:rFonts w:asciiTheme="minorHAnsi" w:hAnsiTheme="minorHAnsi" w:cstheme="minorHAnsi"/>
              </w:rPr>
              <w:t>:</w:t>
            </w:r>
          </w:p>
          <w:p w14:paraId="2817043B" w14:textId="77777777" w:rsidR="00C91DB8" w:rsidRPr="005E5913" w:rsidRDefault="00C91DB8" w:rsidP="00A505A8">
            <w:pPr>
              <w:spacing w:after="0" w:line="300" w:lineRule="auto"/>
              <w:ind w:left="576" w:hanging="288"/>
              <w:rPr>
                <w:rFonts w:asciiTheme="minorHAnsi" w:hAnsiTheme="minorHAnsi" w:cstheme="minorHAnsi"/>
              </w:rPr>
            </w:pPr>
            <w:r w:rsidRPr="005E5913">
              <w:rPr>
                <w:rFonts w:asciiTheme="minorHAnsi" w:hAnsiTheme="minorHAnsi" w:cstheme="minorHAnsi"/>
              </w:rPr>
              <w:t>1.</w:t>
            </w:r>
            <w:r w:rsidRPr="005E5913">
              <w:rPr>
                <w:rFonts w:asciiTheme="minorHAnsi" w:hAnsiTheme="minorHAnsi" w:cstheme="minorHAnsi"/>
              </w:rPr>
              <w:tab/>
              <w:t xml:space="preserve">pH </w:t>
            </w:r>
            <w:r>
              <w:rPr>
                <w:rFonts w:asciiTheme="minorHAnsi" w:hAnsiTheme="minorHAnsi" w:cstheme="minorHAnsi"/>
              </w:rPr>
              <w:t>less than or equal to</w:t>
            </w:r>
            <w:r w:rsidRPr="005E5913">
              <w:rPr>
                <w:rFonts w:asciiTheme="minorHAnsi" w:hAnsiTheme="minorHAnsi" w:cstheme="minorHAnsi"/>
              </w:rPr>
              <w:t xml:space="preserve"> 7.28</w:t>
            </w:r>
          </w:p>
          <w:p w14:paraId="160A21AE" w14:textId="77777777" w:rsidR="00C91DB8" w:rsidRPr="005E5913" w:rsidRDefault="00C91DB8" w:rsidP="00A505A8">
            <w:pPr>
              <w:spacing w:after="0" w:line="300" w:lineRule="auto"/>
              <w:ind w:left="576" w:hanging="288"/>
              <w:rPr>
                <w:rFonts w:asciiTheme="minorHAnsi" w:hAnsiTheme="minorHAnsi" w:cstheme="minorHAnsi"/>
              </w:rPr>
            </w:pPr>
            <w:r w:rsidRPr="005E5913">
              <w:rPr>
                <w:rFonts w:asciiTheme="minorHAnsi" w:hAnsiTheme="minorHAnsi" w:cstheme="minorHAnsi"/>
              </w:rPr>
              <w:t>2.</w:t>
            </w:r>
            <w:r w:rsidRPr="005E5913">
              <w:rPr>
                <w:rFonts w:asciiTheme="minorHAnsi" w:hAnsiTheme="minorHAnsi" w:cstheme="minorHAnsi"/>
              </w:rPr>
              <w:tab/>
              <w:t>pCO</w:t>
            </w:r>
            <w:r>
              <w:rPr>
                <w:rFonts w:asciiTheme="minorHAnsi" w:hAnsiTheme="minorHAnsi" w:cstheme="minorHAnsi"/>
                <w:vertAlign w:val="subscript"/>
              </w:rPr>
              <w:t>2</w:t>
            </w:r>
            <w:r w:rsidRPr="005E5913">
              <w:rPr>
                <w:rFonts w:asciiTheme="minorHAnsi" w:hAnsiTheme="minorHAnsi" w:cstheme="minorHAnsi"/>
              </w:rPr>
              <w:t xml:space="preserve"> </w:t>
            </w:r>
            <w:r>
              <w:rPr>
                <w:rFonts w:asciiTheme="minorHAnsi" w:hAnsiTheme="minorHAnsi" w:cstheme="minorHAnsi"/>
              </w:rPr>
              <w:t>greater than or equal to</w:t>
            </w:r>
            <w:r w:rsidRPr="005E5913">
              <w:rPr>
                <w:rFonts w:asciiTheme="minorHAnsi" w:hAnsiTheme="minorHAnsi" w:cstheme="minorHAnsi"/>
              </w:rPr>
              <w:t xml:space="preserve"> 60 mmHg</w:t>
            </w:r>
          </w:p>
          <w:p w14:paraId="1DBAC650" w14:textId="77777777" w:rsidR="00C91DB8" w:rsidRPr="006F2F56" w:rsidRDefault="00C91DB8" w:rsidP="00A505A8">
            <w:pPr>
              <w:spacing w:after="0" w:line="300" w:lineRule="auto"/>
              <w:ind w:left="576" w:hanging="288"/>
              <w:rPr>
                <w:rFonts w:asciiTheme="minorHAnsi" w:hAnsiTheme="minorHAnsi" w:cstheme="minorHAnsi"/>
              </w:rPr>
            </w:pPr>
            <w:r w:rsidRPr="005E5913">
              <w:rPr>
                <w:rFonts w:asciiTheme="minorHAnsi" w:hAnsiTheme="minorHAnsi" w:cstheme="minorHAnsi"/>
              </w:rPr>
              <w:t>3.</w:t>
            </w:r>
            <w:r w:rsidRPr="005E5913">
              <w:rPr>
                <w:rFonts w:asciiTheme="minorHAnsi" w:hAnsiTheme="minorHAnsi" w:cstheme="minorHAnsi"/>
              </w:rPr>
              <w:tab/>
              <w:t>An acute rise in pCO</w:t>
            </w:r>
            <w:r>
              <w:rPr>
                <w:rFonts w:asciiTheme="minorHAnsi" w:hAnsiTheme="minorHAnsi" w:cstheme="minorHAnsi"/>
                <w:vertAlign w:val="subscript"/>
              </w:rPr>
              <w:t>2</w:t>
            </w:r>
            <w:r w:rsidRPr="005E5913">
              <w:rPr>
                <w:rFonts w:asciiTheme="minorHAnsi" w:hAnsiTheme="minorHAnsi" w:cstheme="minorHAnsi"/>
              </w:rPr>
              <w:t xml:space="preserve"> </w:t>
            </w:r>
            <w:r>
              <w:rPr>
                <w:rFonts w:asciiTheme="minorHAnsi" w:hAnsiTheme="minorHAnsi" w:cstheme="minorHAnsi"/>
              </w:rPr>
              <w:t xml:space="preserve">greater than or equal to </w:t>
            </w:r>
            <w:r w:rsidRPr="005E5913">
              <w:rPr>
                <w:rFonts w:asciiTheme="minorHAnsi" w:hAnsiTheme="minorHAnsi" w:cstheme="minorHAnsi"/>
              </w:rPr>
              <w:t xml:space="preserve">20 mmHg relative to </w:t>
            </w:r>
            <w:r>
              <w:rPr>
                <w:rFonts w:asciiTheme="minorHAnsi" w:hAnsiTheme="minorHAnsi" w:cstheme="minorHAnsi"/>
              </w:rPr>
              <w:t xml:space="preserve">the </w:t>
            </w:r>
            <w:r w:rsidRPr="005E5913">
              <w:rPr>
                <w:rFonts w:asciiTheme="minorHAnsi" w:hAnsiTheme="minorHAnsi" w:cstheme="minorHAnsi"/>
              </w:rPr>
              <w:t>starting PCO</w:t>
            </w:r>
            <w:r>
              <w:rPr>
                <w:rFonts w:asciiTheme="minorHAnsi" w:hAnsiTheme="minorHAnsi" w:cstheme="minorHAnsi"/>
                <w:vertAlign w:val="subscript"/>
              </w:rPr>
              <w:t>2</w:t>
            </w:r>
            <w:r w:rsidRPr="005E5913">
              <w:rPr>
                <w:rFonts w:asciiTheme="minorHAnsi" w:hAnsiTheme="minorHAnsi" w:cstheme="minorHAnsi"/>
              </w:rPr>
              <w:t xml:space="preserve"> value on the initial </w:t>
            </w:r>
            <w:r>
              <w:rPr>
                <w:rFonts w:asciiTheme="minorHAnsi" w:hAnsiTheme="minorHAnsi" w:cstheme="minorHAnsi"/>
              </w:rPr>
              <w:t>ABG</w:t>
            </w:r>
          </w:p>
        </w:tc>
      </w:tr>
      <w:tr w:rsidR="00C91DB8" w14:paraId="51338522" w14:textId="77777777" w:rsidTr="00A505A8">
        <w:trPr>
          <w:trHeight w:val="323"/>
        </w:trPr>
        <w:tc>
          <w:tcPr>
            <w:tcW w:w="10980" w:type="dxa"/>
            <w:shd w:val="clear" w:color="auto" w:fill="D9D9D9" w:themeFill="background1" w:themeFillShade="D9"/>
            <w:vAlign w:val="center"/>
          </w:tcPr>
          <w:p w14:paraId="13E19C3D" w14:textId="00E9497F" w:rsidR="00C91DB8" w:rsidRPr="00912768" w:rsidRDefault="00C91DB8" w:rsidP="00A505A8">
            <w:pPr>
              <w:spacing w:after="0" w:line="240" w:lineRule="auto"/>
              <w:rPr>
                <w:rFonts w:asciiTheme="minorHAnsi" w:hAnsiTheme="minorHAnsi" w:cstheme="minorHAnsi"/>
                <w:b/>
              </w:rPr>
            </w:pPr>
            <w:r>
              <w:rPr>
                <w:rFonts w:asciiTheme="minorHAnsi" w:hAnsiTheme="minorHAnsi" w:cstheme="minorHAnsi"/>
                <w:b/>
                <w:sz w:val="24"/>
              </w:rPr>
              <w:t>Apnea Test</w:t>
            </w:r>
            <w:r w:rsidR="00626B44">
              <w:rPr>
                <w:rFonts w:asciiTheme="minorHAnsi" w:hAnsiTheme="minorHAnsi" w:cstheme="minorHAnsi"/>
                <w:b/>
                <w:sz w:val="24"/>
              </w:rPr>
              <w:t>ing</w:t>
            </w:r>
            <w:r>
              <w:rPr>
                <w:rFonts w:asciiTheme="minorHAnsi" w:hAnsiTheme="minorHAnsi" w:cstheme="minorHAnsi"/>
                <w:b/>
                <w:sz w:val="24"/>
              </w:rPr>
              <w:t xml:space="preserve"> Process</w:t>
            </w:r>
          </w:p>
        </w:tc>
      </w:tr>
      <w:tr w:rsidR="00C91DB8" w14:paraId="105569D8" w14:textId="77777777" w:rsidTr="00A505A8">
        <w:trPr>
          <w:trHeight w:val="611"/>
        </w:trPr>
        <w:tc>
          <w:tcPr>
            <w:tcW w:w="10980" w:type="dxa"/>
          </w:tcPr>
          <w:p w14:paraId="4087534D" w14:textId="77777777" w:rsidR="00C91DB8" w:rsidRDefault="00C91DB8" w:rsidP="00A505A8">
            <w:pPr>
              <w:spacing w:after="0" w:line="240" w:lineRule="auto"/>
              <w:rPr>
                <w:rFonts w:asciiTheme="minorHAnsi" w:hAnsiTheme="minorHAnsi" w:cstheme="minorHAnsi"/>
              </w:rPr>
            </w:pPr>
            <w:r w:rsidRPr="00912768">
              <w:rPr>
                <w:rFonts w:asciiTheme="minorHAnsi" w:hAnsiTheme="minorHAnsi" w:cstheme="minorHAnsi"/>
                <w:b/>
              </w:rPr>
              <w:t>Preoxygenation:</w:t>
            </w:r>
            <w:r w:rsidRPr="005E5913">
              <w:rPr>
                <w:rFonts w:asciiTheme="minorHAnsi" w:hAnsiTheme="minorHAnsi" w:cstheme="minorHAnsi"/>
              </w:rPr>
              <w:t xml:space="preserve"> </w:t>
            </w:r>
          </w:p>
          <w:p w14:paraId="229384AB" w14:textId="77777777" w:rsidR="00C91DB8" w:rsidRDefault="00C91DB8" w:rsidP="00A505A8">
            <w:pPr>
              <w:spacing w:after="0" w:line="240" w:lineRule="auto"/>
              <w:rPr>
                <w:sz w:val="28"/>
              </w:rPr>
            </w:pPr>
            <w:r w:rsidRPr="005E5913">
              <w:rPr>
                <w:rFonts w:asciiTheme="minorHAnsi" w:hAnsiTheme="minorHAnsi" w:cstheme="minorHAnsi"/>
              </w:rPr>
              <w:t>Patients should always be pre-oxygenated with 100% O</w:t>
            </w:r>
            <w:r w:rsidRPr="00B55653">
              <w:rPr>
                <w:rFonts w:asciiTheme="minorHAnsi" w:hAnsiTheme="minorHAnsi" w:cstheme="minorHAnsi"/>
                <w:vertAlign w:val="subscript"/>
              </w:rPr>
              <w:t>2</w:t>
            </w:r>
            <w:r w:rsidRPr="005E5913">
              <w:rPr>
                <w:rFonts w:asciiTheme="minorHAnsi" w:hAnsiTheme="minorHAnsi" w:cstheme="minorHAnsi"/>
              </w:rPr>
              <w:t xml:space="preserve"> for 10-20 min.</w:t>
            </w:r>
          </w:p>
        </w:tc>
      </w:tr>
      <w:tr w:rsidR="00C91DB8" w14:paraId="5A1D5640" w14:textId="77777777" w:rsidTr="00A505A8">
        <w:trPr>
          <w:trHeight w:val="890"/>
        </w:trPr>
        <w:tc>
          <w:tcPr>
            <w:tcW w:w="10980" w:type="dxa"/>
          </w:tcPr>
          <w:p w14:paraId="37CA2F27" w14:textId="77777777" w:rsidR="00C91DB8" w:rsidRDefault="00C91DB8" w:rsidP="00A505A8">
            <w:pPr>
              <w:spacing w:after="0" w:line="240" w:lineRule="auto"/>
              <w:rPr>
                <w:rFonts w:asciiTheme="minorHAnsi" w:hAnsiTheme="minorHAnsi" w:cstheme="minorHAnsi"/>
              </w:rPr>
            </w:pPr>
            <w:r w:rsidRPr="00912768">
              <w:rPr>
                <w:rFonts w:asciiTheme="minorHAnsi" w:hAnsiTheme="minorHAnsi" w:cstheme="minorHAnsi"/>
                <w:b/>
              </w:rPr>
              <w:t>Continuous observation:</w:t>
            </w:r>
            <w:r w:rsidRPr="005E5913">
              <w:rPr>
                <w:rFonts w:asciiTheme="minorHAnsi" w:hAnsiTheme="minorHAnsi" w:cstheme="minorHAnsi"/>
              </w:rPr>
              <w:t xml:space="preserve"> </w:t>
            </w:r>
          </w:p>
          <w:p w14:paraId="627FC109" w14:textId="77777777" w:rsidR="00C91DB8" w:rsidRPr="00912768" w:rsidRDefault="00C91DB8" w:rsidP="00A505A8">
            <w:pPr>
              <w:spacing w:after="0" w:line="240" w:lineRule="auto"/>
              <w:rPr>
                <w:sz w:val="28"/>
              </w:rPr>
            </w:pPr>
            <w:r w:rsidRPr="005E5913">
              <w:rPr>
                <w:rFonts w:asciiTheme="minorHAnsi" w:hAnsiTheme="minorHAnsi" w:cstheme="minorHAnsi"/>
              </w:rPr>
              <w:t>Patients are observed continuously for respiratory effort and stability. If the patient becomes unstable, they should be re-connected to the ventilator and appropriate ventilator settings reinstituted.</w:t>
            </w:r>
          </w:p>
        </w:tc>
      </w:tr>
      <w:tr w:rsidR="00C91DB8" w14:paraId="24F827A6" w14:textId="77777777" w:rsidTr="00A505A8">
        <w:trPr>
          <w:trHeight w:val="2492"/>
        </w:trPr>
        <w:tc>
          <w:tcPr>
            <w:tcW w:w="10980" w:type="dxa"/>
          </w:tcPr>
          <w:p w14:paraId="3282C93D" w14:textId="77777777" w:rsidR="00C91DB8" w:rsidRDefault="00C91DB8" w:rsidP="00A505A8">
            <w:pPr>
              <w:spacing w:after="0" w:line="240" w:lineRule="auto"/>
              <w:rPr>
                <w:rFonts w:asciiTheme="minorHAnsi" w:hAnsiTheme="minorHAnsi" w:cstheme="minorHAnsi"/>
              </w:rPr>
            </w:pPr>
            <w:r w:rsidRPr="00912768">
              <w:rPr>
                <w:rFonts w:asciiTheme="minorHAnsi" w:hAnsiTheme="minorHAnsi" w:cstheme="minorHAnsi"/>
                <w:b/>
              </w:rPr>
              <w:t>Sequential arterial sampling:</w:t>
            </w:r>
            <w:r w:rsidRPr="005E5913">
              <w:rPr>
                <w:rFonts w:asciiTheme="minorHAnsi" w:hAnsiTheme="minorHAnsi" w:cstheme="minorHAnsi"/>
              </w:rPr>
              <w:t xml:space="preserve"> </w:t>
            </w:r>
          </w:p>
          <w:p w14:paraId="5E6F09E4" w14:textId="77777777" w:rsidR="00C91DB8" w:rsidRPr="00912768" w:rsidRDefault="00C91DB8" w:rsidP="00C91DB8">
            <w:pPr>
              <w:pStyle w:val="ListParagraph"/>
              <w:numPr>
                <w:ilvl w:val="0"/>
                <w:numId w:val="20"/>
              </w:numPr>
              <w:suppressAutoHyphens w:val="0"/>
              <w:autoSpaceDE/>
              <w:autoSpaceDN/>
              <w:adjustRightInd/>
              <w:spacing w:after="0" w:line="240" w:lineRule="auto"/>
              <w:textAlignment w:val="auto"/>
              <w:rPr>
                <w:rFonts w:asciiTheme="minorHAnsi" w:hAnsiTheme="minorHAnsi" w:cstheme="minorHAnsi"/>
              </w:rPr>
            </w:pPr>
            <w:r w:rsidRPr="00912768">
              <w:rPr>
                <w:rFonts w:asciiTheme="minorHAnsi" w:hAnsiTheme="minorHAnsi" w:cstheme="minorHAnsi"/>
              </w:rPr>
              <w:t>During the exam,</w:t>
            </w:r>
            <w:r>
              <w:rPr>
                <w:rFonts w:asciiTheme="minorHAnsi" w:hAnsiTheme="minorHAnsi" w:cstheme="minorHAnsi"/>
              </w:rPr>
              <w:t xml:space="preserve"> ABG</w:t>
            </w:r>
            <w:r w:rsidRPr="00912768">
              <w:rPr>
                <w:rFonts w:asciiTheme="minorHAnsi" w:hAnsiTheme="minorHAnsi" w:cstheme="minorHAnsi"/>
              </w:rPr>
              <w:t xml:space="preserve"> is done at </w:t>
            </w:r>
            <w:r>
              <w:rPr>
                <w:rFonts w:asciiTheme="minorHAnsi" w:hAnsiTheme="minorHAnsi" w:cstheme="minorHAnsi"/>
              </w:rPr>
              <w:t xml:space="preserve">5-minute </w:t>
            </w:r>
            <w:r w:rsidRPr="00912768">
              <w:rPr>
                <w:rFonts w:asciiTheme="minorHAnsi" w:hAnsiTheme="minorHAnsi" w:cstheme="minorHAnsi"/>
              </w:rPr>
              <w:t xml:space="preserve">intervals to assure targets are met. </w:t>
            </w:r>
          </w:p>
          <w:p w14:paraId="64DB5CC6" w14:textId="77777777" w:rsidR="00C91DB8" w:rsidRPr="00912768" w:rsidRDefault="00C91DB8" w:rsidP="00C91DB8">
            <w:pPr>
              <w:pStyle w:val="ListParagraph"/>
              <w:numPr>
                <w:ilvl w:val="0"/>
                <w:numId w:val="20"/>
              </w:numPr>
              <w:suppressAutoHyphens w:val="0"/>
              <w:autoSpaceDE/>
              <w:autoSpaceDN/>
              <w:adjustRightInd/>
              <w:spacing w:after="0" w:line="240" w:lineRule="auto"/>
              <w:textAlignment w:val="auto"/>
              <w:rPr>
                <w:rFonts w:asciiTheme="minorHAnsi" w:hAnsiTheme="minorHAnsi" w:cstheme="minorHAnsi"/>
              </w:rPr>
            </w:pPr>
            <w:r w:rsidRPr="00912768">
              <w:rPr>
                <w:rFonts w:asciiTheme="minorHAnsi" w:hAnsiTheme="minorHAnsi" w:cstheme="minorHAnsi"/>
              </w:rPr>
              <w:t>Point</w:t>
            </w:r>
            <w:r>
              <w:rPr>
                <w:rFonts w:asciiTheme="minorHAnsi" w:hAnsiTheme="minorHAnsi" w:cstheme="minorHAnsi"/>
              </w:rPr>
              <w:t>-</w:t>
            </w:r>
            <w:r w:rsidRPr="00912768">
              <w:rPr>
                <w:rFonts w:asciiTheme="minorHAnsi" w:hAnsiTheme="minorHAnsi" w:cstheme="minorHAnsi"/>
              </w:rPr>
              <w:t>of</w:t>
            </w:r>
            <w:r>
              <w:rPr>
                <w:rFonts w:asciiTheme="minorHAnsi" w:hAnsiTheme="minorHAnsi" w:cstheme="minorHAnsi"/>
              </w:rPr>
              <w:t>-</w:t>
            </w:r>
            <w:r w:rsidRPr="00912768">
              <w:rPr>
                <w:rFonts w:asciiTheme="minorHAnsi" w:hAnsiTheme="minorHAnsi" w:cstheme="minorHAnsi"/>
              </w:rPr>
              <w:t xml:space="preserve">Care testing is recommended if available. </w:t>
            </w:r>
          </w:p>
          <w:p w14:paraId="4E82F5D0" w14:textId="77777777" w:rsidR="00C91DB8" w:rsidRPr="00912768" w:rsidRDefault="00C91DB8" w:rsidP="00C91DB8">
            <w:pPr>
              <w:pStyle w:val="ListParagraph"/>
              <w:numPr>
                <w:ilvl w:val="0"/>
                <w:numId w:val="20"/>
              </w:numPr>
              <w:suppressAutoHyphens w:val="0"/>
              <w:autoSpaceDE/>
              <w:autoSpaceDN/>
              <w:adjustRightInd/>
              <w:spacing w:after="0" w:line="240" w:lineRule="auto"/>
              <w:textAlignment w:val="auto"/>
              <w:rPr>
                <w:rFonts w:asciiTheme="minorHAnsi" w:hAnsiTheme="minorHAnsi" w:cstheme="minorHAnsi"/>
              </w:rPr>
            </w:pPr>
            <w:r w:rsidRPr="00912768">
              <w:rPr>
                <w:rFonts w:asciiTheme="minorHAnsi" w:hAnsiTheme="minorHAnsi" w:cstheme="minorHAnsi"/>
              </w:rPr>
              <w:t>A baseline ABG (within 1-2 hours prior to determination) is required to ensure pH and PCO</w:t>
            </w:r>
            <w:r w:rsidRPr="00912768">
              <w:rPr>
                <w:rFonts w:asciiTheme="minorHAnsi" w:hAnsiTheme="minorHAnsi" w:cstheme="minorHAnsi"/>
                <w:vertAlign w:val="subscript"/>
              </w:rPr>
              <w:t>2</w:t>
            </w:r>
            <w:r w:rsidRPr="00912768">
              <w:rPr>
                <w:rFonts w:asciiTheme="minorHAnsi" w:hAnsiTheme="minorHAnsi" w:cstheme="minorHAnsi"/>
              </w:rPr>
              <w:t xml:space="preserve"> are within target range.  After starting the apnea test the first ABG is usually drawn after 5 minutes then every 5 minutes until targets are met.  </w:t>
            </w:r>
          </w:p>
          <w:p w14:paraId="111D1D42" w14:textId="77777777" w:rsidR="00C91DB8" w:rsidRPr="00912768" w:rsidRDefault="00C91DB8" w:rsidP="00C91DB8">
            <w:pPr>
              <w:pStyle w:val="ListParagraph"/>
              <w:numPr>
                <w:ilvl w:val="0"/>
                <w:numId w:val="20"/>
              </w:numPr>
              <w:suppressAutoHyphens w:val="0"/>
              <w:autoSpaceDE/>
              <w:autoSpaceDN/>
              <w:adjustRightInd/>
              <w:spacing w:after="0" w:line="240" w:lineRule="auto"/>
              <w:textAlignment w:val="auto"/>
              <w:rPr>
                <w:rFonts w:asciiTheme="minorHAnsi" w:hAnsiTheme="minorHAnsi" w:cstheme="minorHAnsi"/>
              </w:rPr>
            </w:pPr>
            <w:r w:rsidRPr="00912768">
              <w:rPr>
                <w:rFonts w:asciiTheme="minorHAnsi" w:hAnsiTheme="minorHAnsi" w:cstheme="minorHAnsi"/>
              </w:rPr>
              <w:t>If Point</w:t>
            </w:r>
            <w:r>
              <w:rPr>
                <w:rFonts w:asciiTheme="minorHAnsi" w:hAnsiTheme="minorHAnsi" w:cstheme="minorHAnsi"/>
              </w:rPr>
              <w:t>-</w:t>
            </w:r>
            <w:r w:rsidRPr="00912768">
              <w:rPr>
                <w:rFonts w:asciiTheme="minorHAnsi" w:hAnsiTheme="minorHAnsi" w:cstheme="minorHAnsi"/>
              </w:rPr>
              <w:t>of</w:t>
            </w:r>
            <w:r>
              <w:rPr>
                <w:rFonts w:asciiTheme="minorHAnsi" w:hAnsiTheme="minorHAnsi" w:cstheme="minorHAnsi"/>
              </w:rPr>
              <w:t>-</w:t>
            </w:r>
            <w:r w:rsidRPr="00912768">
              <w:rPr>
                <w:rFonts w:asciiTheme="minorHAnsi" w:hAnsiTheme="minorHAnsi" w:cstheme="minorHAnsi"/>
              </w:rPr>
              <w:t>Care ABG is not available then drawing one ABG prior to reconnecting to the ventilator is prudent if final results are not yet known.  Usually 10-15 minutes of apnea produces respiratory acidosis and hypercarbia within thresholds.</w:t>
            </w:r>
          </w:p>
        </w:tc>
      </w:tr>
      <w:tr w:rsidR="00C91DB8" w:rsidRPr="00D6761E" w14:paraId="618F6174" w14:textId="77777777" w:rsidTr="00A505A8">
        <w:trPr>
          <w:trHeight w:val="71"/>
        </w:trPr>
        <w:tc>
          <w:tcPr>
            <w:tcW w:w="10980" w:type="dxa"/>
            <w:shd w:val="clear" w:color="auto" w:fill="D9D9D9" w:themeFill="background1" w:themeFillShade="D9"/>
          </w:tcPr>
          <w:p w14:paraId="5F15C765" w14:textId="77777777" w:rsidR="00C91DB8" w:rsidRPr="00D6761E" w:rsidRDefault="00C91DB8" w:rsidP="00A505A8">
            <w:pPr>
              <w:spacing w:after="0" w:line="300" w:lineRule="auto"/>
              <w:rPr>
                <w:b/>
                <w:sz w:val="28"/>
              </w:rPr>
            </w:pPr>
            <w:r w:rsidRPr="00912768">
              <w:rPr>
                <w:rFonts w:asciiTheme="minorHAnsi" w:hAnsiTheme="minorHAnsi" w:cstheme="minorHAnsi"/>
                <w:b/>
                <w:sz w:val="24"/>
              </w:rPr>
              <w:t>Three (3) Methods for Apnea Testing:</w:t>
            </w:r>
          </w:p>
        </w:tc>
      </w:tr>
      <w:tr w:rsidR="00C91DB8" w:rsidRPr="00D6761E" w14:paraId="48C63CD3" w14:textId="77777777" w:rsidTr="00A505A8">
        <w:tc>
          <w:tcPr>
            <w:tcW w:w="10980" w:type="dxa"/>
            <w:shd w:val="clear" w:color="auto" w:fill="F2F2F2" w:themeFill="background1" w:themeFillShade="F2"/>
          </w:tcPr>
          <w:p w14:paraId="549A9155" w14:textId="77777777" w:rsidR="00C91DB8" w:rsidRPr="00D6761E" w:rsidRDefault="00C91DB8" w:rsidP="00C91DB8">
            <w:pPr>
              <w:pStyle w:val="ListParagraph"/>
              <w:numPr>
                <w:ilvl w:val="0"/>
                <w:numId w:val="26"/>
              </w:numPr>
              <w:suppressAutoHyphens w:val="0"/>
              <w:autoSpaceDE/>
              <w:autoSpaceDN/>
              <w:adjustRightInd/>
              <w:spacing w:after="0" w:line="300" w:lineRule="auto"/>
              <w:textAlignment w:val="auto"/>
              <w:rPr>
                <w:rFonts w:asciiTheme="minorHAnsi" w:hAnsiTheme="minorHAnsi" w:cstheme="minorHAnsi"/>
                <w:b/>
                <w:i/>
              </w:rPr>
            </w:pPr>
            <w:r>
              <w:rPr>
                <w:rFonts w:asciiTheme="minorHAnsi" w:hAnsiTheme="minorHAnsi" w:cstheme="minorHAnsi"/>
                <w:b/>
                <w:i/>
              </w:rPr>
              <w:t>Passive Oxygenation with Suction Catheter (off ventilator)</w:t>
            </w:r>
          </w:p>
        </w:tc>
      </w:tr>
      <w:tr w:rsidR="00C91DB8" w:rsidRPr="0079735B" w14:paraId="682F7B9D" w14:textId="77777777" w:rsidTr="00A505A8">
        <w:trPr>
          <w:trHeight w:val="1340"/>
        </w:trPr>
        <w:tc>
          <w:tcPr>
            <w:tcW w:w="10980" w:type="dxa"/>
          </w:tcPr>
          <w:p w14:paraId="78184769" w14:textId="77777777" w:rsidR="00C91DB8" w:rsidRPr="00912768" w:rsidRDefault="00C91DB8" w:rsidP="00A505A8">
            <w:pPr>
              <w:spacing w:after="60" w:line="240" w:lineRule="auto"/>
              <w:rPr>
                <w:rFonts w:asciiTheme="minorHAnsi" w:hAnsiTheme="minorHAnsi" w:cstheme="minorHAnsi"/>
                <w:i/>
              </w:rPr>
            </w:pPr>
            <w:r w:rsidRPr="00912768">
              <w:rPr>
                <w:rFonts w:asciiTheme="minorHAnsi" w:hAnsiTheme="minorHAnsi" w:cstheme="minorHAnsi"/>
                <w:i/>
              </w:rPr>
              <w:t>This method does not require any specialized equipment but may allow more atelectasis and thus is not optimal for potential lung donors.</w:t>
            </w:r>
          </w:p>
          <w:p w14:paraId="56788267" w14:textId="77777777" w:rsidR="00C91DB8" w:rsidRPr="00912768" w:rsidRDefault="00C91DB8" w:rsidP="00C91DB8">
            <w:pPr>
              <w:pStyle w:val="ListParagraph"/>
              <w:numPr>
                <w:ilvl w:val="0"/>
                <w:numId w:val="20"/>
              </w:numPr>
              <w:suppressAutoHyphens w:val="0"/>
              <w:autoSpaceDE/>
              <w:autoSpaceDN/>
              <w:adjustRightInd/>
              <w:spacing w:after="60" w:line="240" w:lineRule="auto"/>
              <w:textAlignment w:val="auto"/>
              <w:rPr>
                <w:rFonts w:asciiTheme="minorHAnsi" w:hAnsiTheme="minorHAnsi" w:cstheme="minorHAnsi"/>
              </w:rPr>
            </w:pPr>
            <w:r w:rsidRPr="005E5913">
              <w:rPr>
                <w:rFonts w:asciiTheme="minorHAnsi" w:hAnsiTheme="minorHAnsi" w:cstheme="minorHAnsi"/>
              </w:rPr>
              <w:t>Disconnect patient from ventilator and supply 4-6 litres per minute of oxygen through the ETT via a catheter positioned above the carina. Observe the time; this is the beginning of the test.</w:t>
            </w:r>
          </w:p>
        </w:tc>
      </w:tr>
      <w:tr w:rsidR="00C91DB8" w:rsidRPr="00D6761E" w14:paraId="7F3A24D8" w14:textId="77777777" w:rsidTr="00A505A8">
        <w:tc>
          <w:tcPr>
            <w:tcW w:w="10980" w:type="dxa"/>
            <w:shd w:val="clear" w:color="auto" w:fill="F2F2F2" w:themeFill="background1" w:themeFillShade="F2"/>
          </w:tcPr>
          <w:p w14:paraId="00A619D8" w14:textId="77777777" w:rsidR="00C91DB8" w:rsidRPr="00D6761E" w:rsidRDefault="00C91DB8" w:rsidP="00C91DB8">
            <w:pPr>
              <w:pStyle w:val="ListParagraph"/>
              <w:numPr>
                <w:ilvl w:val="0"/>
                <w:numId w:val="26"/>
              </w:numPr>
              <w:suppressAutoHyphens w:val="0"/>
              <w:autoSpaceDE/>
              <w:autoSpaceDN/>
              <w:adjustRightInd/>
              <w:spacing w:after="0" w:line="300" w:lineRule="auto"/>
              <w:textAlignment w:val="auto"/>
              <w:rPr>
                <w:b/>
                <w:i/>
              </w:rPr>
            </w:pPr>
            <w:r w:rsidRPr="00D6761E">
              <w:rPr>
                <w:rFonts w:asciiTheme="minorHAnsi" w:hAnsiTheme="minorHAnsi" w:cstheme="minorHAnsi"/>
                <w:b/>
                <w:i/>
              </w:rPr>
              <w:lastRenderedPageBreak/>
              <w:t>Positive Airway Pressure</w:t>
            </w:r>
          </w:p>
        </w:tc>
      </w:tr>
      <w:tr w:rsidR="00C91DB8" w:rsidRPr="00D6761E" w14:paraId="55283A5F" w14:textId="77777777" w:rsidTr="00A505A8">
        <w:trPr>
          <w:trHeight w:val="2438"/>
        </w:trPr>
        <w:tc>
          <w:tcPr>
            <w:tcW w:w="10980" w:type="dxa"/>
          </w:tcPr>
          <w:p w14:paraId="74A46735" w14:textId="77777777" w:rsidR="00C91DB8" w:rsidRPr="001A028E" w:rsidRDefault="00C91DB8" w:rsidP="00C91DB8">
            <w:pPr>
              <w:pStyle w:val="ListParagraph"/>
              <w:numPr>
                <w:ilvl w:val="0"/>
                <w:numId w:val="28"/>
              </w:numPr>
              <w:suppressAutoHyphens w:val="0"/>
              <w:autoSpaceDE/>
              <w:autoSpaceDN/>
              <w:adjustRightInd/>
              <w:spacing w:after="60" w:line="240" w:lineRule="auto"/>
              <w:textAlignment w:val="auto"/>
              <w:rPr>
                <w:rFonts w:asciiTheme="minorHAnsi" w:hAnsiTheme="minorHAnsi" w:cstheme="minorHAnsi"/>
                <w:u w:val="single"/>
              </w:rPr>
            </w:pPr>
            <w:r w:rsidRPr="001A028E">
              <w:rPr>
                <w:rFonts w:asciiTheme="minorHAnsi" w:hAnsiTheme="minorHAnsi" w:cstheme="minorHAnsi"/>
                <w:u w:val="single"/>
              </w:rPr>
              <w:t>Positive Airway Pressure with PEEP Valve (off ventilator)</w:t>
            </w:r>
          </w:p>
          <w:p w14:paraId="6218417B" w14:textId="77777777" w:rsidR="00C91DB8" w:rsidRPr="005E5913" w:rsidRDefault="00C91DB8" w:rsidP="00A505A8">
            <w:pPr>
              <w:spacing w:after="60" w:line="240" w:lineRule="auto"/>
              <w:rPr>
                <w:rFonts w:asciiTheme="minorHAnsi" w:hAnsiTheme="minorHAnsi" w:cstheme="minorHAnsi"/>
                <w:i/>
              </w:rPr>
            </w:pPr>
            <w:r w:rsidRPr="005E5913">
              <w:rPr>
                <w:rFonts w:asciiTheme="minorHAnsi" w:hAnsiTheme="minorHAnsi" w:cstheme="minorHAnsi"/>
                <w:i/>
              </w:rPr>
              <w:t>This method provides CPAP during the apnea test (which is best practice for potential lung donors) but may provide inconsistent levels of CPAP due to leaks in the system.</w:t>
            </w:r>
          </w:p>
          <w:p w14:paraId="5794F4CF" w14:textId="77777777" w:rsidR="00C91DB8" w:rsidRPr="001A028E" w:rsidRDefault="00C91DB8" w:rsidP="00C91DB8">
            <w:pPr>
              <w:pStyle w:val="ListParagraph"/>
              <w:numPr>
                <w:ilvl w:val="0"/>
                <w:numId w:val="20"/>
              </w:numPr>
              <w:suppressAutoHyphens w:val="0"/>
              <w:autoSpaceDE/>
              <w:autoSpaceDN/>
              <w:adjustRightInd/>
              <w:spacing w:after="60" w:line="240" w:lineRule="auto"/>
              <w:textAlignment w:val="auto"/>
              <w:rPr>
                <w:rFonts w:asciiTheme="minorHAnsi" w:hAnsiTheme="minorHAnsi" w:cstheme="minorHAnsi"/>
              </w:rPr>
            </w:pPr>
            <w:r w:rsidRPr="001A028E">
              <w:rPr>
                <w:rFonts w:asciiTheme="minorHAnsi" w:hAnsiTheme="minorHAnsi" w:cstheme="minorHAnsi"/>
              </w:rPr>
              <w:t xml:space="preserve">Insert and seal a suction catheter through a swivel ETT adapter. Sealing can be done using occlusive tape. </w:t>
            </w:r>
          </w:p>
          <w:p w14:paraId="08807CF9" w14:textId="77777777" w:rsidR="00C91DB8" w:rsidRPr="001A028E" w:rsidRDefault="00C91DB8" w:rsidP="00C91DB8">
            <w:pPr>
              <w:pStyle w:val="ListParagraph"/>
              <w:numPr>
                <w:ilvl w:val="0"/>
                <w:numId w:val="20"/>
              </w:numPr>
              <w:suppressAutoHyphens w:val="0"/>
              <w:autoSpaceDE/>
              <w:autoSpaceDN/>
              <w:adjustRightInd/>
              <w:spacing w:after="60" w:line="240" w:lineRule="auto"/>
              <w:textAlignment w:val="auto"/>
              <w:rPr>
                <w:rFonts w:asciiTheme="minorHAnsi" w:hAnsiTheme="minorHAnsi" w:cstheme="minorHAnsi"/>
              </w:rPr>
            </w:pPr>
            <w:r w:rsidRPr="001A028E">
              <w:rPr>
                <w:rFonts w:asciiTheme="minorHAnsi" w:hAnsiTheme="minorHAnsi" w:cstheme="minorHAnsi"/>
              </w:rPr>
              <w:t>Disconnect patient from ventilator and attach resuscitator bag with PEEP valve set at 10-15 mmH</w:t>
            </w:r>
            <w:r>
              <w:rPr>
                <w:rFonts w:asciiTheme="minorHAnsi" w:hAnsiTheme="minorHAnsi" w:cstheme="minorHAnsi"/>
                <w:vertAlign w:val="subscript"/>
              </w:rPr>
              <w:t>2</w:t>
            </w:r>
            <w:r w:rsidRPr="001A028E">
              <w:rPr>
                <w:rFonts w:asciiTheme="minorHAnsi" w:hAnsiTheme="minorHAnsi" w:cstheme="minorHAnsi"/>
              </w:rPr>
              <w:t>O via the above swivel setup.</w:t>
            </w:r>
          </w:p>
          <w:p w14:paraId="444712C8" w14:textId="77777777" w:rsidR="00C91DB8" w:rsidRPr="001A028E" w:rsidRDefault="00C91DB8" w:rsidP="00C91DB8">
            <w:pPr>
              <w:pStyle w:val="ListParagraph"/>
              <w:numPr>
                <w:ilvl w:val="0"/>
                <w:numId w:val="20"/>
              </w:numPr>
              <w:suppressAutoHyphens w:val="0"/>
              <w:autoSpaceDE/>
              <w:autoSpaceDN/>
              <w:adjustRightInd/>
              <w:spacing w:after="60" w:line="240" w:lineRule="auto"/>
              <w:textAlignment w:val="auto"/>
              <w:rPr>
                <w:rFonts w:asciiTheme="minorHAnsi" w:hAnsiTheme="minorHAnsi" w:cstheme="minorHAnsi"/>
              </w:rPr>
            </w:pPr>
            <w:r w:rsidRPr="001A028E">
              <w:rPr>
                <w:rFonts w:asciiTheme="minorHAnsi" w:hAnsiTheme="minorHAnsi" w:cstheme="minorHAnsi"/>
              </w:rPr>
              <w:t xml:space="preserve">Supply 4-6 Liters of oxygen via the suction catheter which should be positioned above carina. </w:t>
            </w:r>
          </w:p>
          <w:p w14:paraId="75A85094" w14:textId="77777777" w:rsidR="00C91DB8" w:rsidRPr="00D6761E" w:rsidRDefault="00C91DB8" w:rsidP="00C91DB8">
            <w:pPr>
              <w:pStyle w:val="ListParagraph"/>
              <w:numPr>
                <w:ilvl w:val="0"/>
                <w:numId w:val="27"/>
              </w:numPr>
              <w:suppressAutoHyphens w:val="0"/>
              <w:autoSpaceDE/>
              <w:autoSpaceDN/>
              <w:adjustRightInd/>
              <w:spacing w:after="0" w:line="240" w:lineRule="auto"/>
              <w:contextualSpacing w:val="0"/>
              <w:textAlignment w:val="auto"/>
              <w:rPr>
                <w:rFonts w:asciiTheme="minorHAnsi" w:hAnsiTheme="minorHAnsi" w:cstheme="minorHAnsi"/>
                <w:i/>
              </w:rPr>
            </w:pPr>
            <w:r w:rsidRPr="001A028E">
              <w:rPr>
                <w:rFonts w:asciiTheme="minorHAnsi" w:hAnsiTheme="minorHAnsi" w:cstheme="minorHAnsi"/>
              </w:rPr>
              <w:t>Give patient one breath via resuscitator bag to generate positive airway pressure. Observe the time; this is the beginning of the test.</w:t>
            </w:r>
          </w:p>
        </w:tc>
      </w:tr>
      <w:tr w:rsidR="00C91DB8" w:rsidRPr="00D6761E" w14:paraId="4E9637D4" w14:textId="77777777" w:rsidTr="00A505A8">
        <w:trPr>
          <w:trHeight w:val="2060"/>
        </w:trPr>
        <w:tc>
          <w:tcPr>
            <w:tcW w:w="10980" w:type="dxa"/>
          </w:tcPr>
          <w:p w14:paraId="03542B0D" w14:textId="77777777" w:rsidR="00C91DB8" w:rsidRPr="00035759" w:rsidRDefault="00C91DB8" w:rsidP="00C91DB8">
            <w:pPr>
              <w:pStyle w:val="ListParagraph"/>
              <w:numPr>
                <w:ilvl w:val="0"/>
                <w:numId w:val="28"/>
              </w:numPr>
              <w:suppressAutoHyphens w:val="0"/>
              <w:autoSpaceDE/>
              <w:autoSpaceDN/>
              <w:adjustRightInd/>
              <w:spacing w:after="0" w:line="300" w:lineRule="auto"/>
              <w:textAlignment w:val="auto"/>
              <w:rPr>
                <w:rFonts w:asciiTheme="minorHAnsi" w:hAnsiTheme="minorHAnsi" w:cstheme="minorHAnsi"/>
                <w:u w:val="single"/>
              </w:rPr>
            </w:pPr>
            <w:r w:rsidRPr="00035759">
              <w:rPr>
                <w:rFonts w:asciiTheme="minorHAnsi" w:hAnsiTheme="minorHAnsi" w:cstheme="minorHAnsi"/>
                <w:u w:val="single"/>
              </w:rPr>
              <w:t>Positive Airway Pressure While Remaining on the Ventilator</w:t>
            </w:r>
          </w:p>
          <w:p w14:paraId="4F0451B6" w14:textId="77777777" w:rsidR="00C91DB8" w:rsidRPr="00912768" w:rsidRDefault="00C91DB8" w:rsidP="00A505A8">
            <w:pPr>
              <w:spacing w:after="0" w:line="300" w:lineRule="auto"/>
              <w:rPr>
                <w:rFonts w:asciiTheme="minorHAnsi" w:hAnsiTheme="minorHAnsi" w:cstheme="minorHAnsi"/>
                <w:i/>
              </w:rPr>
            </w:pPr>
            <w:r w:rsidRPr="00912768">
              <w:rPr>
                <w:rFonts w:asciiTheme="minorHAnsi" w:hAnsiTheme="minorHAnsi" w:cstheme="minorHAnsi"/>
                <w:i/>
              </w:rPr>
              <w:t xml:space="preserve">This method does not require any disconnects and maintains recruitment and CPAP during apnea testing.  Some ventilators may not allow apnea ventilation to be disabled which may interfere with observation of respiratory efforts. </w:t>
            </w:r>
          </w:p>
          <w:p w14:paraId="73BF919A" w14:textId="77777777" w:rsidR="00C91DB8" w:rsidRPr="00912768" w:rsidRDefault="00C91DB8" w:rsidP="00C91DB8">
            <w:pPr>
              <w:pStyle w:val="ListParagraph"/>
              <w:numPr>
                <w:ilvl w:val="0"/>
                <w:numId w:val="27"/>
              </w:numPr>
              <w:suppressAutoHyphens w:val="0"/>
              <w:autoSpaceDE/>
              <w:autoSpaceDN/>
              <w:adjustRightInd/>
              <w:spacing w:after="0" w:line="240" w:lineRule="auto"/>
              <w:contextualSpacing w:val="0"/>
              <w:textAlignment w:val="auto"/>
              <w:rPr>
                <w:rFonts w:asciiTheme="minorHAnsi" w:hAnsiTheme="minorHAnsi" w:cstheme="minorHAnsi"/>
              </w:rPr>
            </w:pPr>
            <w:r w:rsidRPr="00912768">
              <w:rPr>
                <w:rFonts w:asciiTheme="minorHAnsi" w:hAnsiTheme="minorHAnsi" w:cstheme="minorHAnsi"/>
              </w:rPr>
              <w:t xml:space="preserve">Turn apnea ventilation off and widen alarm values.  The alarms will go off during the test and will need to be silenced. </w:t>
            </w:r>
          </w:p>
          <w:p w14:paraId="1741B3AA" w14:textId="77777777" w:rsidR="00C91DB8" w:rsidRPr="00912768" w:rsidRDefault="00C91DB8" w:rsidP="00C91DB8">
            <w:pPr>
              <w:pStyle w:val="ListParagraph"/>
              <w:numPr>
                <w:ilvl w:val="0"/>
                <w:numId w:val="27"/>
              </w:numPr>
              <w:suppressAutoHyphens w:val="0"/>
              <w:autoSpaceDE/>
              <w:autoSpaceDN/>
              <w:adjustRightInd/>
              <w:spacing w:after="0" w:line="240" w:lineRule="auto"/>
              <w:contextualSpacing w:val="0"/>
              <w:textAlignment w:val="auto"/>
              <w:rPr>
                <w:rFonts w:asciiTheme="minorHAnsi" w:hAnsiTheme="minorHAnsi" w:cstheme="minorHAnsi"/>
              </w:rPr>
            </w:pPr>
            <w:r w:rsidRPr="00912768">
              <w:rPr>
                <w:rFonts w:asciiTheme="minorHAnsi" w:hAnsiTheme="minorHAnsi" w:cstheme="minorHAnsi"/>
              </w:rPr>
              <w:t>Change the ventilator mode to CPAP/spontaneous mode with CPAP set to prior PEEP level and pressure support to zero. Observe the time; this is the beginning of the test.</w:t>
            </w:r>
          </w:p>
        </w:tc>
      </w:tr>
      <w:tr w:rsidR="00C91DB8" w14:paraId="2B0155F4" w14:textId="77777777" w:rsidTr="00A505A8">
        <w:trPr>
          <w:trHeight w:val="2762"/>
        </w:trPr>
        <w:tc>
          <w:tcPr>
            <w:tcW w:w="10980" w:type="dxa"/>
          </w:tcPr>
          <w:p w14:paraId="73E8AD42" w14:textId="77777777" w:rsidR="00C91DB8" w:rsidRPr="00912768" w:rsidRDefault="00C91DB8" w:rsidP="00C91DB8">
            <w:pPr>
              <w:pStyle w:val="ListParagraph"/>
              <w:numPr>
                <w:ilvl w:val="0"/>
                <w:numId w:val="28"/>
              </w:numPr>
              <w:suppressAutoHyphens w:val="0"/>
              <w:autoSpaceDE/>
              <w:autoSpaceDN/>
              <w:adjustRightInd/>
              <w:spacing w:after="0" w:line="300" w:lineRule="auto"/>
              <w:textAlignment w:val="auto"/>
              <w:rPr>
                <w:rFonts w:asciiTheme="minorHAnsi" w:hAnsiTheme="minorHAnsi" w:cstheme="minorHAnsi"/>
                <w:u w:val="single"/>
              </w:rPr>
            </w:pPr>
            <w:r w:rsidRPr="00912768">
              <w:rPr>
                <w:rFonts w:asciiTheme="minorHAnsi" w:hAnsiTheme="minorHAnsi" w:cstheme="minorHAnsi"/>
                <w:u w:val="single"/>
              </w:rPr>
              <w:t>Positive Airway Pressure with Intentional Hypoventilation</w:t>
            </w:r>
          </w:p>
          <w:p w14:paraId="404BB6BC" w14:textId="77777777" w:rsidR="00C91DB8" w:rsidRPr="00912768" w:rsidRDefault="00C91DB8" w:rsidP="00A505A8">
            <w:pPr>
              <w:spacing w:after="0" w:line="300" w:lineRule="auto"/>
              <w:rPr>
                <w:rFonts w:asciiTheme="minorHAnsi" w:hAnsiTheme="minorHAnsi" w:cstheme="minorHAnsi"/>
                <w:i/>
              </w:rPr>
            </w:pPr>
            <w:r w:rsidRPr="00912768">
              <w:rPr>
                <w:rFonts w:asciiTheme="minorHAnsi" w:hAnsiTheme="minorHAnsi" w:cstheme="minorHAnsi"/>
                <w:i/>
              </w:rPr>
              <w:t>This method often allows completion of apnea testing in patients with significant cardio-respiratory instability and in whom other apnea testing is unsuccessful.  It may require longer to reach the target ABG criteria due to the minimal ventilation provided.</w:t>
            </w:r>
          </w:p>
          <w:p w14:paraId="33AE2A95" w14:textId="77777777" w:rsidR="00C91DB8" w:rsidRPr="00912768" w:rsidRDefault="00C91DB8" w:rsidP="00C91DB8">
            <w:pPr>
              <w:pStyle w:val="ListParagraph"/>
              <w:numPr>
                <w:ilvl w:val="0"/>
                <w:numId w:val="29"/>
              </w:numPr>
              <w:suppressAutoHyphens w:val="0"/>
              <w:autoSpaceDE/>
              <w:autoSpaceDN/>
              <w:adjustRightInd/>
              <w:spacing w:after="0" w:line="240" w:lineRule="auto"/>
              <w:contextualSpacing w:val="0"/>
              <w:textAlignment w:val="auto"/>
              <w:rPr>
                <w:rFonts w:asciiTheme="minorHAnsi" w:hAnsiTheme="minorHAnsi" w:cstheme="minorHAnsi"/>
              </w:rPr>
            </w:pPr>
            <w:r w:rsidRPr="00912768">
              <w:rPr>
                <w:rFonts w:asciiTheme="minorHAnsi" w:hAnsiTheme="minorHAnsi" w:cstheme="minorHAnsi"/>
              </w:rPr>
              <w:t xml:space="preserve">Change ventilator mode to SIMV with 2-4 breaths a minute at low tidal volumes (e.g., </w:t>
            </w:r>
            <w:r>
              <w:rPr>
                <w:rFonts w:asciiTheme="minorHAnsi" w:hAnsiTheme="minorHAnsi" w:cstheme="minorHAnsi"/>
              </w:rPr>
              <w:t xml:space="preserve">less than </w:t>
            </w:r>
            <w:r w:rsidRPr="00912768">
              <w:rPr>
                <w:rFonts w:asciiTheme="minorHAnsi" w:hAnsiTheme="minorHAnsi" w:cstheme="minorHAnsi"/>
              </w:rPr>
              <w:t xml:space="preserve">50% baseline minute ventilation, or 200cc) and no pressure support; or change to Assist Control 2-4 breaths with apnea ventilation turned off. Observe the time; this is the beginning of the test. </w:t>
            </w:r>
          </w:p>
          <w:p w14:paraId="3BA45944" w14:textId="77777777" w:rsidR="00C91DB8" w:rsidRPr="00912768" w:rsidRDefault="00C91DB8" w:rsidP="00C91DB8">
            <w:pPr>
              <w:pStyle w:val="ListParagraph"/>
              <w:numPr>
                <w:ilvl w:val="0"/>
                <w:numId w:val="29"/>
              </w:numPr>
              <w:suppressAutoHyphens w:val="0"/>
              <w:autoSpaceDE/>
              <w:autoSpaceDN/>
              <w:adjustRightInd/>
              <w:spacing w:after="0" w:line="240" w:lineRule="auto"/>
              <w:contextualSpacing w:val="0"/>
              <w:textAlignment w:val="auto"/>
              <w:rPr>
                <w:rFonts w:asciiTheme="minorHAnsi" w:hAnsiTheme="minorHAnsi" w:cstheme="minorHAnsi"/>
                <w:u w:val="single"/>
              </w:rPr>
            </w:pPr>
            <w:r w:rsidRPr="00912768">
              <w:rPr>
                <w:rFonts w:asciiTheme="minorHAnsi" w:hAnsiTheme="minorHAnsi" w:cstheme="minorHAnsi"/>
              </w:rPr>
              <w:t>After arterial blood gases confirm that target pH and PCO</w:t>
            </w:r>
            <w:r>
              <w:rPr>
                <w:rFonts w:asciiTheme="minorHAnsi" w:hAnsiTheme="minorHAnsi" w:cstheme="minorHAnsi"/>
                <w:vertAlign w:val="subscript"/>
              </w:rPr>
              <w:t>2</w:t>
            </w:r>
            <w:r w:rsidRPr="00912768">
              <w:rPr>
                <w:rFonts w:asciiTheme="minorHAnsi" w:hAnsiTheme="minorHAnsi" w:cstheme="minorHAnsi"/>
              </w:rPr>
              <w:t xml:space="preserve"> have been reached, ventilator is disconnected or set to standby and the patient is observed for any respiratory efforts for a period of 60 seconds.</w:t>
            </w:r>
          </w:p>
        </w:tc>
      </w:tr>
      <w:tr w:rsidR="00C91DB8" w:rsidRPr="00D6761E" w14:paraId="79F23E01" w14:textId="77777777" w:rsidTr="00A505A8">
        <w:tc>
          <w:tcPr>
            <w:tcW w:w="10980" w:type="dxa"/>
            <w:shd w:val="clear" w:color="auto" w:fill="F2F2F2" w:themeFill="background1" w:themeFillShade="F2"/>
          </w:tcPr>
          <w:p w14:paraId="6D4B39B8" w14:textId="77777777" w:rsidR="00C91DB8" w:rsidRPr="00D6761E" w:rsidRDefault="00C91DB8" w:rsidP="00C91DB8">
            <w:pPr>
              <w:pStyle w:val="ListParagraph"/>
              <w:numPr>
                <w:ilvl w:val="0"/>
                <w:numId w:val="26"/>
              </w:numPr>
              <w:suppressAutoHyphens w:val="0"/>
              <w:autoSpaceDE/>
              <w:autoSpaceDN/>
              <w:adjustRightInd/>
              <w:spacing w:after="0" w:line="300" w:lineRule="auto"/>
              <w:textAlignment w:val="auto"/>
              <w:rPr>
                <w:b/>
                <w:i/>
              </w:rPr>
            </w:pPr>
            <w:r>
              <w:rPr>
                <w:rFonts w:asciiTheme="minorHAnsi" w:hAnsiTheme="minorHAnsi" w:cstheme="minorHAnsi"/>
                <w:b/>
                <w:i/>
              </w:rPr>
              <w:t>Carbogen Ventilation</w:t>
            </w:r>
          </w:p>
        </w:tc>
      </w:tr>
      <w:tr w:rsidR="00C91DB8" w:rsidRPr="0079735B" w14:paraId="581F9A39" w14:textId="77777777" w:rsidTr="00A505A8">
        <w:trPr>
          <w:trHeight w:val="2303"/>
        </w:trPr>
        <w:tc>
          <w:tcPr>
            <w:tcW w:w="10980" w:type="dxa"/>
          </w:tcPr>
          <w:p w14:paraId="5D41976F" w14:textId="77777777" w:rsidR="00C91DB8" w:rsidRPr="00BC16B0" w:rsidRDefault="00C91DB8" w:rsidP="00A505A8">
            <w:pPr>
              <w:spacing w:after="60" w:line="240" w:lineRule="auto"/>
              <w:rPr>
                <w:rFonts w:asciiTheme="minorHAnsi" w:hAnsiTheme="minorHAnsi" w:cstheme="minorHAnsi"/>
                <w:i/>
              </w:rPr>
            </w:pPr>
            <w:r w:rsidRPr="00BC16B0">
              <w:rPr>
                <w:rFonts w:asciiTheme="minorHAnsi" w:hAnsiTheme="minorHAnsi" w:cstheme="minorHAnsi"/>
                <w:i/>
              </w:rPr>
              <w:t>Carbogen ventilation ensures a consistent and rapid rise in pCO</w:t>
            </w:r>
            <w:r>
              <w:rPr>
                <w:rFonts w:asciiTheme="minorHAnsi" w:hAnsiTheme="minorHAnsi" w:cstheme="minorHAnsi"/>
                <w:i/>
                <w:vertAlign w:val="subscript"/>
              </w:rPr>
              <w:t>2</w:t>
            </w:r>
            <w:r w:rsidRPr="00BC16B0">
              <w:rPr>
                <w:rFonts w:asciiTheme="minorHAnsi" w:hAnsiTheme="minorHAnsi" w:cstheme="minorHAnsi"/>
                <w:i/>
              </w:rPr>
              <w:t>. It does require access to a carbogen tank and a regulator to allow connection to the patient mechanical ventilator.</w:t>
            </w:r>
          </w:p>
          <w:p w14:paraId="385B6CE5" w14:textId="77777777" w:rsidR="00C91DB8" w:rsidRPr="00912768" w:rsidRDefault="00C91DB8" w:rsidP="00C91DB8">
            <w:pPr>
              <w:pStyle w:val="ListParagraph"/>
              <w:numPr>
                <w:ilvl w:val="0"/>
                <w:numId w:val="30"/>
              </w:numPr>
              <w:suppressAutoHyphens w:val="0"/>
              <w:autoSpaceDE/>
              <w:autoSpaceDN/>
              <w:adjustRightInd/>
              <w:spacing w:after="60" w:line="240" w:lineRule="auto"/>
              <w:textAlignment w:val="auto"/>
              <w:rPr>
                <w:rFonts w:asciiTheme="minorHAnsi" w:hAnsiTheme="minorHAnsi" w:cstheme="minorHAnsi"/>
              </w:rPr>
            </w:pPr>
            <w:r w:rsidRPr="00912768">
              <w:rPr>
                <w:rFonts w:asciiTheme="minorHAnsi" w:hAnsiTheme="minorHAnsi" w:cstheme="minorHAnsi"/>
              </w:rPr>
              <w:t>Disconnect the oxygen supply hose from the wall and connect it to the carbogen regulator.  This will allow the ventilator to deliver a mixture of 97% oxygen and 3% carbon dioxide.</w:t>
            </w:r>
          </w:p>
          <w:p w14:paraId="266D526D" w14:textId="77777777" w:rsidR="00C91DB8" w:rsidRPr="00912768" w:rsidRDefault="00C91DB8" w:rsidP="00C91DB8">
            <w:pPr>
              <w:pStyle w:val="ListParagraph"/>
              <w:numPr>
                <w:ilvl w:val="0"/>
                <w:numId w:val="30"/>
              </w:numPr>
              <w:suppressAutoHyphens w:val="0"/>
              <w:autoSpaceDE/>
              <w:autoSpaceDN/>
              <w:adjustRightInd/>
              <w:spacing w:after="60" w:line="240" w:lineRule="auto"/>
              <w:textAlignment w:val="auto"/>
              <w:rPr>
                <w:rFonts w:asciiTheme="minorHAnsi" w:hAnsiTheme="minorHAnsi" w:cstheme="minorHAnsi"/>
              </w:rPr>
            </w:pPr>
            <w:r w:rsidRPr="00912768">
              <w:rPr>
                <w:rFonts w:asciiTheme="minorHAnsi" w:hAnsiTheme="minorHAnsi" w:cstheme="minorHAnsi"/>
              </w:rPr>
              <w:t>Change ventilator mode to SIMV with 2-4 breaths a minute and no pressure support; or change to Assist Control 2-4 breaths with apnea ventilation turned off. Observe the time; this is the beginning of the test</w:t>
            </w:r>
          </w:p>
          <w:p w14:paraId="4AFFF324" w14:textId="77777777" w:rsidR="00C91DB8" w:rsidRPr="00912768" w:rsidRDefault="00C91DB8" w:rsidP="00C91DB8">
            <w:pPr>
              <w:pStyle w:val="ListParagraph"/>
              <w:numPr>
                <w:ilvl w:val="0"/>
                <w:numId w:val="30"/>
              </w:numPr>
              <w:suppressAutoHyphens w:val="0"/>
              <w:autoSpaceDE/>
              <w:autoSpaceDN/>
              <w:adjustRightInd/>
              <w:spacing w:after="60" w:line="240" w:lineRule="auto"/>
              <w:textAlignment w:val="auto"/>
              <w:rPr>
                <w:rFonts w:asciiTheme="minorHAnsi" w:hAnsiTheme="minorHAnsi" w:cstheme="minorHAnsi"/>
              </w:rPr>
            </w:pPr>
            <w:r w:rsidRPr="00912768">
              <w:rPr>
                <w:rFonts w:asciiTheme="minorHAnsi" w:hAnsiTheme="minorHAnsi" w:cstheme="minorHAnsi"/>
              </w:rPr>
              <w:t>After arterial blood gases confirm that target pH and PCO</w:t>
            </w:r>
            <w:r>
              <w:rPr>
                <w:rFonts w:asciiTheme="minorHAnsi" w:hAnsiTheme="minorHAnsi" w:cstheme="minorHAnsi"/>
                <w:vertAlign w:val="subscript"/>
              </w:rPr>
              <w:t>2</w:t>
            </w:r>
            <w:r w:rsidRPr="00912768">
              <w:rPr>
                <w:rFonts w:asciiTheme="minorHAnsi" w:hAnsiTheme="minorHAnsi" w:cstheme="minorHAnsi"/>
              </w:rPr>
              <w:t xml:space="preserve"> have been reached, ventilator is disconnected or set to standby and the patient observed for any respiratory efforts for a period of 60 seconds</w:t>
            </w:r>
            <w:r>
              <w:rPr>
                <w:rFonts w:asciiTheme="minorHAnsi" w:hAnsiTheme="minorHAnsi" w:cstheme="minorHAnsi"/>
              </w:rPr>
              <w:t>.</w:t>
            </w:r>
          </w:p>
        </w:tc>
      </w:tr>
      <w:tr w:rsidR="00C91DB8" w:rsidRPr="00831699" w14:paraId="0A5249C2" w14:textId="77777777" w:rsidTr="00A505A8">
        <w:tc>
          <w:tcPr>
            <w:tcW w:w="10980" w:type="dxa"/>
            <w:shd w:val="clear" w:color="auto" w:fill="D9D9D9" w:themeFill="background1" w:themeFillShade="D9"/>
          </w:tcPr>
          <w:p w14:paraId="4F6C56FF" w14:textId="77777777" w:rsidR="00C91DB8" w:rsidRPr="00912768" w:rsidRDefault="00C91DB8" w:rsidP="00A505A8">
            <w:pPr>
              <w:spacing w:after="0" w:line="300" w:lineRule="auto"/>
              <w:rPr>
                <w:rFonts w:asciiTheme="minorHAnsi" w:hAnsiTheme="minorHAnsi" w:cstheme="minorHAnsi"/>
                <w:b/>
                <w:sz w:val="24"/>
              </w:rPr>
            </w:pPr>
            <w:r w:rsidRPr="00912768">
              <w:rPr>
                <w:rFonts w:asciiTheme="minorHAnsi" w:hAnsiTheme="minorHAnsi" w:cstheme="minorHAnsi"/>
                <w:b/>
                <w:sz w:val="24"/>
              </w:rPr>
              <w:t>Time of Death and Documentation</w:t>
            </w:r>
          </w:p>
        </w:tc>
      </w:tr>
      <w:tr w:rsidR="00C91DB8" w14:paraId="00162D8E" w14:textId="77777777" w:rsidTr="00A505A8">
        <w:tc>
          <w:tcPr>
            <w:tcW w:w="10980" w:type="dxa"/>
          </w:tcPr>
          <w:p w14:paraId="11E45825" w14:textId="77777777" w:rsidR="00C91DB8" w:rsidRDefault="00C91DB8" w:rsidP="00A505A8">
            <w:pPr>
              <w:spacing w:after="0" w:line="240" w:lineRule="auto"/>
              <w:rPr>
                <w:rFonts w:asciiTheme="minorHAnsi" w:hAnsiTheme="minorHAnsi" w:cstheme="minorHAnsi"/>
              </w:rPr>
            </w:pPr>
            <w:r w:rsidRPr="003E2C5A">
              <w:rPr>
                <w:rFonts w:asciiTheme="minorHAnsi" w:hAnsiTheme="minorHAnsi" w:cstheme="minorHAnsi"/>
              </w:rPr>
              <w:t>The time of death is the time the blood sample was taken when the PaCO</w:t>
            </w:r>
            <w:r>
              <w:rPr>
                <w:rFonts w:asciiTheme="minorHAnsi" w:hAnsiTheme="minorHAnsi" w:cstheme="minorHAnsi"/>
                <w:vertAlign w:val="subscript"/>
              </w:rPr>
              <w:t>2</w:t>
            </w:r>
            <w:r w:rsidRPr="003E2C5A">
              <w:rPr>
                <w:rFonts w:asciiTheme="minorHAnsi" w:hAnsiTheme="minorHAnsi" w:cstheme="minorHAnsi"/>
              </w:rPr>
              <w:t xml:space="preserve"> reached the apnea test </w:t>
            </w:r>
            <w:r>
              <w:rPr>
                <w:rFonts w:asciiTheme="minorHAnsi" w:hAnsiTheme="minorHAnsi" w:cstheme="minorHAnsi"/>
              </w:rPr>
              <w:t>thresholds.  D</w:t>
            </w:r>
            <w:r w:rsidRPr="003E2C5A">
              <w:rPr>
                <w:rFonts w:asciiTheme="minorHAnsi" w:hAnsiTheme="minorHAnsi" w:cstheme="minorHAnsi"/>
              </w:rPr>
              <w:t>ocumen</w:t>
            </w:r>
            <w:r>
              <w:rPr>
                <w:rFonts w:asciiTheme="minorHAnsi" w:hAnsiTheme="minorHAnsi" w:cstheme="minorHAnsi"/>
              </w:rPr>
              <w:t>tation of the time of death is completed</w:t>
            </w:r>
            <w:r w:rsidRPr="003E2C5A">
              <w:rPr>
                <w:rFonts w:asciiTheme="minorHAnsi" w:hAnsiTheme="minorHAnsi" w:cstheme="minorHAnsi"/>
              </w:rPr>
              <w:t xml:space="preserve"> </w:t>
            </w:r>
            <w:r>
              <w:rPr>
                <w:rFonts w:asciiTheme="minorHAnsi" w:hAnsiTheme="minorHAnsi" w:cstheme="minorHAnsi"/>
              </w:rPr>
              <w:t xml:space="preserve">on the </w:t>
            </w:r>
            <w:r>
              <w:rPr>
                <w:rFonts w:asciiTheme="minorHAnsi" w:hAnsiTheme="minorHAnsi" w:cstheme="minorHAnsi"/>
                <w:i/>
              </w:rPr>
              <w:t>Confirmation of Death Determination by Neurologic Criteria (DNC)</w:t>
            </w:r>
            <w:r>
              <w:rPr>
                <w:rFonts w:asciiTheme="minorHAnsi" w:hAnsiTheme="minorHAnsi" w:cstheme="minorHAnsi"/>
              </w:rPr>
              <w:t xml:space="preserve"> form</w:t>
            </w:r>
            <w:r w:rsidRPr="003E2C5A">
              <w:rPr>
                <w:rFonts w:asciiTheme="minorHAnsi" w:hAnsiTheme="minorHAnsi" w:cstheme="minorHAnsi"/>
              </w:rPr>
              <w:t>.</w:t>
            </w:r>
            <w:r>
              <w:rPr>
                <w:rFonts w:asciiTheme="minorHAnsi" w:hAnsiTheme="minorHAnsi" w:cstheme="minorHAnsi"/>
              </w:rPr>
              <w:t xml:space="preserve">  </w:t>
            </w:r>
            <w:r w:rsidRPr="0008213A">
              <w:rPr>
                <w:rFonts w:asciiTheme="minorHAnsi" w:hAnsiTheme="minorHAnsi" w:cstheme="minorHAnsi"/>
              </w:rPr>
              <w:t>When death is determined independently by two physicians, the legal time of death is the time of completion of the first physician’s assessment.</w:t>
            </w:r>
          </w:p>
        </w:tc>
      </w:tr>
    </w:tbl>
    <w:p w14:paraId="287698BC" w14:textId="43651A45" w:rsidR="00EE6B95" w:rsidRPr="00CA4FE7" w:rsidRDefault="00EE6B95" w:rsidP="001C0B96"/>
    <w:sectPr w:rsidR="00EE6B95" w:rsidRPr="00CA4FE7" w:rsidSect="001510AF">
      <w:headerReference w:type="default" r:id="rId11"/>
      <w:footerReference w:type="even" r:id="rId12"/>
      <w:footerReference w:type="default" r:id="rId13"/>
      <w:headerReference w:type="first" r:id="rId14"/>
      <w:footerReference w:type="first" r:id="rId15"/>
      <w:pgSz w:w="12240" w:h="15840" w:code="1"/>
      <w:pgMar w:top="1650" w:right="1327" w:bottom="578" w:left="1134" w:header="431" w:footer="153"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3D46E" w14:textId="77777777" w:rsidR="004A7DEF" w:rsidRDefault="004A7DEF" w:rsidP="001C0B96">
      <w:r>
        <w:separator/>
      </w:r>
    </w:p>
  </w:endnote>
  <w:endnote w:type="continuationSeparator" w:id="0">
    <w:p w14:paraId="04FD3026" w14:textId="77777777" w:rsidR="004A7DEF" w:rsidRDefault="004A7DEF" w:rsidP="001C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4984993"/>
      <w:docPartObj>
        <w:docPartGallery w:val="Page Numbers (Bottom of Page)"/>
        <w:docPartUnique/>
      </w:docPartObj>
    </w:sdtPr>
    <w:sdtEndPr>
      <w:rPr>
        <w:rStyle w:val="PageNumber"/>
      </w:rPr>
    </w:sdtEndPr>
    <w:sdtContent>
      <w:p w14:paraId="59D2090C" w14:textId="6A790B1C" w:rsidR="0044737A" w:rsidRDefault="0044737A" w:rsidP="001C0B96">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49D1A6" w14:textId="77777777" w:rsidR="0044737A" w:rsidRDefault="0044737A" w:rsidP="001C0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919F" w14:textId="394C9ECA" w:rsidR="00CF4A50" w:rsidRDefault="001A548F" w:rsidP="001C0B96">
    <w:pPr>
      <w:pStyle w:val="Footer"/>
    </w:pPr>
    <w:r w:rsidRPr="0045094D">
      <w:rPr>
        <w:noProof/>
      </w:rPr>
      <w:drawing>
        <wp:anchor distT="0" distB="0" distL="114300" distR="114300" simplePos="0" relativeHeight="251671552" behindDoc="0" locked="0" layoutInCell="1" allowOverlap="1" wp14:anchorId="08F61E9E" wp14:editId="1AEC42C9">
          <wp:simplePos x="0" y="0"/>
          <wp:positionH relativeFrom="column">
            <wp:posOffset>4156612</wp:posOffset>
          </wp:positionH>
          <wp:positionV relativeFrom="page">
            <wp:posOffset>9065895</wp:posOffset>
          </wp:positionV>
          <wp:extent cx="2048400" cy="608400"/>
          <wp:effectExtent l="0" t="0" r="0" b="1270"/>
          <wp:wrapNone/>
          <wp:docPr id="4" name="Picture 4" descr="Ontario Health (Trillium Gift of Lif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ntario Health (Trillium Gift of Life Network) logo"/>
                  <pic:cNvPicPr/>
                </pic:nvPicPr>
                <pic:blipFill>
                  <a:blip r:embed="rId1"/>
                  <a:stretch>
                    <a:fillRect/>
                  </a:stretch>
                </pic:blipFill>
                <pic:spPr>
                  <a:xfrm>
                    <a:off x="0" y="0"/>
                    <a:ext cx="2048400" cy="608400"/>
                  </a:xfrm>
                  <a:prstGeom prst="rect">
                    <a:avLst/>
                  </a:prstGeom>
                </pic:spPr>
              </pic:pic>
            </a:graphicData>
          </a:graphic>
          <wp14:sizeRelH relativeFrom="margin">
            <wp14:pctWidth>0</wp14:pctWidth>
          </wp14:sizeRelH>
          <wp14:sizeRelV relativeFrom="margin">
            <wp14:pctHeight>0</wp14:pctHeight>
          </wp14:sizeRelV>
        </wp:anchor>
      </w:drawing>
    </w:r>
    <w:r w:rsidR="00A86F29">
      <w:tab/>
    </w:r>
  </w:p>
  <w:sdt>
    <w:sdtPr>
      <w:rPr>
        <w:rStyle w:val="PageNumber"/>
      </w:rPr>
      <w:id w:val="549963478"/>
      <w:docPartObj>
        <w:docPartGallery w:val="Page Numbers (Bottom of Page)"/>
        <w:docPartUnique/>
      </w:docPartObj>
    </w:sdtPr>
    <w:sdtEndPr>
      <w:rPr>
        <w:rStyle w:val="PageNumber"/>
      </w:rPr>
    </w:sdtEndPr>
    <w:sdtContent>
      <w:p w14:paraId="714F1DD2" w14:textId="0008C684" w:rsidR="00CF4A50" w:rsidRDefault="00CF4A50" w:rsidP="001C0B96">
        <w:pPr>
          <w:pStyle w:val="Footer"/>
          <w:rPr>
            <w:rStyle w:val="PageNumber"/>
          </w:rPr>
        </w:pPr>
        <w:r w:rsidRPr="00F550E9">
          <w:rPr>
            <w:rStyle w:val="PageNumber"/>
            <w:sz w:val="15"/>
            <w:szCs w:val="15"/>
          </w:rPr>
          <w:fldChar w:fldCharType="begin"/>
        </w:r>
        <w:r w:rsidRPr="00F550E9">
          <w:rPr>
            <w:rStyle w:val="PageNumber"/>
            <w:sz w:val="15"/>
            <w:szCs w:val="15"/>
          </w:rPr>
          <w:instrText xml:space="preserve"> PAGE </w:instrText>
        </w:r>
        <w:r w:rsidRPr="00F550E9">
          <w:rPr>
            <w:rStyle w:val="PageNumber"/>
            <w:sz w:val="15"/>
            <w:szCs w:val="15"/>
          </w:rPr>
          <w:fldChar w:fldCharType="separate"/>
        </w:r>
        <w:r w:rsidR="00B13759">
          <w:rPr>
            <w:rStyle w:val="PageNumber"/>
            <w:noProof/>
            <w:sz w:val="15"/>
            <w:szCs w:val="15"/>
          </w:rPr>
          <w:t>3</w:t>
        </w:r>
        <w:r w:rsidRPr="00F550E9">
          <w:rPr>
            <w:rStyle w:val="PageNumber"/>
            <w:sz w:val="15"/>
            <w:szCs w:val="15"/>
          </w:rPr>
          <w:fldChar w:fldCharType="end"/>
        </w:r>
        <w:r w:rsidR="00B14E48">
          <w:rPr>
            <w:rStyle w:val="PageNumber"/>
            <w:sz w:val="15"/>
            <w:szCs w:val="15"/>
          </w:rPr>
          <w:t xml:space="preserve">          September 2023</w:t>
        </w:r>
      </w:p>
    </w:sdtContent>
  </w:sdt>
  <w:p w14:paraId="2973C08C" w14:textId="1E057A6E" w:rsidR="005E093F" w:rsidRDefault="00CF4A50" w:rsidP="001C0B9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F09B" w14:textId="713EA777" w:rsidR="005E093F" w:rsidRDefault="006B20CD" w:rsidP="001C0B96">
    <w:pPr>
      <w:pStyle w:val="Footer"/>
    </w:pPr>
    <w:r w:rsidRPr="0045094D">
      <w:rPr>
        <w:noProof/>
      </w:rPr>
      <w:drawing>
        <wp:anchor distT="0" distB="0" distL="114300" distR="114300" simplePos="0" relativeHeight="251669504" behindDoc="0" locked="0" layoutInCell="1" allowOverlap="1" wp14:anchorId="0BAB830F" wp14:editId="7477366F">
          <wp:simplePos x="0" y="0"/>
          <wp:positionH relativeFrom="column">
            <wp:posOffset>3294917</wp:posOffset>
          </wp:positionH>
          <wp:positionV relativeFrom="paragraph">
            <wp:posOffset>-360045</wp:posOffset>
          </wp:positionV>
          <wp:extent cx="3146400" cy="936000"/>
          <wp:effectExtent l="0" t="0" r="3810" b="3810"/>
          <wp:wrapNone/>
          <wp:docPr id="6" name="Picture 6" descr="Ontario Health (Trillium Gift of Lif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ntario Health (Trillium Gift of Life Network) logo"/>
                  <pic:cNvPicPr/>
                </pic:nvPicPr>
                <pic:blipFill>
                  <a:blip r:embed="rId1"/>
                  <a:stretch>
                    <a:fillRect/>
                  </a:stretch>
                </pic:blipFill>
                <pic:spPr>
                  <a:xfrm>
                    <a:off x="0" y="0"/>
                    <a:ext cx="3146400" cy="936000"/>
                  </a:xfrm>
                  <a:prstGeom prst="rect">
                    <a:avLst/>
                  </a:prstGeom>
                </pic:spPr>
              </pic:pic>
            </a:graphicData>
          </a:graphic>
          <wp14:sizeRelH relativeFrom="margin">
            <wp14:pctWidth>0</wp14:pctWidth>
          </wp14:sizeRelH>
          <wp14:sizeRelV relativeFrom="margin">
            <wp14:pctHeight>0</wp14:pctHeight>
          </wp14:sizeRelV>
        </wp:anchor>
      </w:drawing>
    </w:r>
  </w:p>
  <w:p w14:paraId="5C0179AA" w14:textId="77777777" w:rsidR="003F6685" w:rsidRPr="00B87CD0" w:rsidRDefault="003F6685" w:rsidP="001C0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FD25B" w14:textId="77777777" w:rsidR="004A7DEF" w:rsidRDefault="004A7DEF" w:rsidP="001C0B96">
      <w:r>
        <w:separator/>
      </w:r>
    </w:p>
  </w:footnote>
  <w:footnote w:type="continuationSeparator" w:id="0">
    <w:p w14:paraId="0A7F84D3" w14:textId="77777777" w:rsidR="004A7DEF" w:rsidRDefault="004A7DEF" w:rsidP="001C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24AD" w14:textId="77777777" w:rsidR="003F6685" w:rsidRDefault="003F6685" w:rsidP="001C0B96">
    <w:pPr>
      <w:pStyle w:val="Header"/>
    </w:pPr>
    <w:r>
      <w:rPr>
        <w:noProof/>
        <w:lang w:val="en-US"/>
      </w:rPr>
      <mc:AlternateContent>
        <mc:Choice Requires="wps">
          <w:drawing>
            <wp:anchor distT="0" distB="0" distL="114300" distR="114300" simplePos="0" relativeHeight="251663360" behindDoc="0" locked="0" layoutInCell="1" allowOverlap="1" wp14:anchorId="4792ED45" wp14:editId="726DA97E">
              <wp:simplePos x="0" y="0"/>
              <wp:positionH relativeFrom="page">
                <wp:posOffset>731520</wp:posOffset>
              </wp:positionH>
              <wp:positionV relativeFrom="page">
                <wp:posOffset>657013</wp:posOffset>
              </wp:positionV>
              <wp:extent cx="6190827" cy="60960"/>
              <wp:effectExtent l="0" t="0" r="0" b="2540"/>
              <wp:wrapNone/>
              <wp:docPr id="47" name="Rectangle 47" descr="&quot;&quo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90827" cy="6096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92ED45" id="Rectangle 47" o:spid="_x0000_s1026" alt="&quot;&quot;" style="position:absolute;margin-left:57.6pt;margin-top:51.75pt;width:487.4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" fillcolor="#00b0f0"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34E9521A" w14:textId="78A7D246" w:rsidR="003F6685" w:rsidRDefault="007970DA">
                        <w:pPr>
                          <w:pStyle w:val="NoSpacing"/>
                          <w:jc w:val="center"/>
                          <w:rPr>
                            <w:b/>
                            <w:caps/>
                            <w:spacing w:val="20"/>
                            <w:sz w:val="28"/>
                            <w:szCs w:val="28"/>
                          </w:rPr>
                        </w:pPr>
                        <w:r>
                          <w:rPr>
                            <w:b/>
                            <w:caps/>
                            <w:spacing w:val="20"/>
                            <w:sz w:val="28"/>
                            <w:szCs w:val="28"/>
                          </w:rPr>
                          <w:t>Ontario Health (Cancer Care Ontario)</w:t>
                        </w:r>
                      </w:p>
                    </w:sdtContent>
                  </w:sdt>
                </w:txbxContent>
              </v:textbox>
              <w10:wrap anchorx="page" anchory="page"/>
            </v:rect>
          </w:pict>
        </mc:Fallback>
      </mc:AlternateContent>
    </w:r>
  </w:p>
  <w:p w14:paraId="6A0963DD" w14:textId="4872995A" w:rsidR="003F6685" w:rsidRDefault="003F6685" w:rsidP="001C0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1E64" w14:textId="4A14D3F5" w:rsidR="005E093F" w:rsidRDefault="006B20CD" w:rsidP="0001168A">
    <w:pPr>
      <w:pStyle w:val="Header"/>
      <w:spacing w:before="880" w:after="720"/>
    </w:pPr>
    <w:r w:rsidRPr="0045094D">
      <w:rPr>
        <w:noProof/>
      </w:rPr>
      <w:drawing>
        <wp:anchor distT="0" distB="0" distL="114300" distR="114300" simplePos="0" relativeHeight="251667456" behindDoc="0" locked="0" layoutInCell="1" allowOverlap="1" wp14:anchorId="1C143479" wp14:editId="567FB7C1">
          <wp:simplePos x="0" y="0"/>
          <wp:positionH relativeFrom="column">
            <wp:posOffset>-68926</wp:posOffset>
          </wp:positionH>
          <wp:positionV relativeFrom="paragraph">
            <wp:posOffset>3758</wp:posOffset>
          </wp:positionV>
          <wp:extent cx="1818000" cy="820095"/>
          <wp:effectExtent l="0" t="0" r="0" b="5715"/>
          <wp:wrapNone/>
          <wp:docPr id="3" name="Picture 3" descr="Trillium Gift of Life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illium Gift of Life Network logo"/>
                  <pic:cNvPicPr/>
                </pic:nvPicPr>
                <pic:blipFill>
                  <a:blip r:embed="rId1"/>
                  <a:stretch>
                    <a:fillRect/>
                  </a:stretch>
                </pic:blipFill>
                <pic:spPr>
                  <a:xfrm>
                    <a:off x="0" y="0"/>
                    <a:ext cx="1818000" cy="8200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4A2"/>
    <w:multiLevelType w:val="hybridMultilevel"/>
    <w:tmpl w:val="358489C4"/>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E31"/>
    <w:multiLevelType w:val="hybridMultilevel"/>
    <w:tmpl w:val="8B00F9C8"/>
    <w:lvl w:ilvl="0" w:tplc="CF0EDFF4">
      <w:start w:val="1"/>
      <w:numFmt w:val="bullet"/>
      <w:lvlText w:val=""/>
      <w:lvlJc w:val="left"/>
      <w:pPr>
        <w:ind w:left="720" w:hanging="360"/>
      </w:pPr>
      <w:rPr>
        <w:rFonts w:ascii="Symbol" w:hAnsi="Symbol" w:hint="default"/>
        <w:color w:val="00B2E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F2255"/>
    <w:multiLevelType w:val="hybridMultilevel"/>
    <w:tmpl w:val="A9E0A004"/>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83A171E"/>
    <w:multiLevelType w:val="hybridMultilevel"/>
    <w:tmpl w:val="1310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D32E1"/>
    <w:multiLevelType w:val="hybridMultilevel"/>
    <w:tmpl w:val="37D0A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F1110B7"/>
    <w:multiLevelType w:val="hybridMultilevel"/>
    <w:tmpl w:val="0CCE760C"/>
    <w:lvl w:ilvl="0" w:tplc="1C40065A">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1219A"/>
    <w:multiLevelType w:val="hybridMultilevel"/>
    <w:tmpl w:val="986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2300A"/>
    <w:multiLevelType w:val="hybridMultilevel"/>
    <w:tmpl w:val="0C5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068A9"/>
    <w:multiLevelType w:val="hybridMultilevel"/>
    <w:tmpl w:val="47A02036"/>
    <w:lvl w:ilvl="0" w:tplc="FFFFFFF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C06A9"/>
    <w:multiLevelType w:val="hybridMultilevel"/>
    <w:tmpl w:val="96ACDB0A"/>
    <w:lvl w:ilvl="0" w:tplc="B1743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C76F5"/>
    <w:multiLevelType w:val="hybridMultilevel"/>
    <w:tmpl w:val="90743BFA"/>
    <w:lvl w:ilvl="0" w:tplc="253279D0">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E06F4"/>
    <w:multiLevelType w:val="hybridMultilevel"/>
    <w:tmpl w:val="0BCA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F642F"/>
    <w:multiLevelType w:val="hybridMultilevel"/>
    <w:tmpl w:val="69345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96B9C"/>
    <w:multiLevelType w:val="hybridMultilevel"/>
    <w:tmpl w:val="F7201686"/>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5127F"/>
    <w:multiLevelType w:val="hybridMultilevel"/>
    <w:tmpl w:val="33AA87F0"/>
    <w:lvl w:ilvl="0" w:tplc="3D10DB72">
      <w:start w:val="1"/>
      <w:numFmt w:val="decimal"/>
      <w:lvlText w:val="%1.0"/>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B3D5C3D"/>
    <w:multiLevelType w:val="hybridMultilevel"/>
    <w:tmpl w:val="4378D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0C19B3"/>
    <w:multiLevelType w:val="hybridMultilevel"/>
    <w:tmpl w:val="17A4722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7" w15:restartNumberingAfterBreak="0">
    <w:nsid w:val="3F5446D8"/>
    <w:multiLevelType w:val="hybridMultilevel"/>
    <w:tmpl w:val="34760F9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A1274"/>
    <w:multiLevelType w:val="hybridMultilevel"/>
    <w:tmpl w:val="29CCBC28"/>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71044F"/>
    <w:multiLevelType w:val="hybridMultilevel"/>
    <w:tmpl w:val="FB00E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A18211A"/>
    <w:multiLevelType w:val="hybridMultilevel"/>
    <w:tmpl w:val="78F4B2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0DE6E60"/>
    <w:multiLevelType w:val="hybridMultilevel"/>
    <w:tmpl w:val="545CC6F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8002705"/>
    <w:multiLevelType w:val="hybridMultilevel"/>
    <w:tmpl w:val="36BADFF2"/>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63795"/>
    <w:multiLevelType w:val="hybridMultilevel"/>
    <w:tmpl w:val="0D54A008"/>
    <w:lvl w:ilvl="0" w:tplc="F7B0CE7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334E65"/>
    <w:multiLevelType w:val="hybridMultilevel"/>
    <w:tmpl w:val="F05239C6"/>
    <w:lvl w:ilvl="0" w:tplc="98487402">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12ACF"/>
    <w:multiLevelType w:val="hybridMultilevel"/>
    <w:tmpl w:val="104C998A"/>
    <w:lvl w:ilvl="0" w:tplc="A15E0862">
      <w:start w:val="1"/>
      <w:numFmt w:val="bullet"/>
      <w:lvlText w:val=""/>
      <w:lvlJc w:val="left"/>
      <w:pPr>
        <w:ind w:left="720" w:hanging="578"/>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E1D06"/>
    <w:multiLevelType w:val="hybridMultilevel"/>
    <w:tmpl w:val="7C0C595C"/>
    <w:lvl w:ilvl="0" w:tplc="A15E0862">
      <w:start w:val="1"/>
      <w:numFmt w:val="bullet"/>
      <w:lvlText w:val=""/>
      <w:lvlJc w:val="left"/>
      <w:pPr>
        <w:ind w:left="720" w:hanging="360"/>
      </w:pPr>
      <w:rPr>
        <w:rFonts w:ascii="Symbol" w:hAnsi="Symbol" w:hint="default"/>
        <w:color w:val="92278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3E2C76"/>
    <w:multiLevelType w:val="multilevel"/>
    <w:tmpl w:val="0A20D9C4"/>
    <w:lvl w:ilvl="0">
      <w:start w:val="1"/>
      <w:numFmt w:val="decimal"/>
      <w:lvlText w:val="%1"/>
      <w:lvlJc w:val="left"/>
      <w:pPr>
        <w:ind w:left="360" w:hanging="360"/>
      </w:pPr>
      <w:rPr>
        <w:rFonts w:hint="default"/>
      </w:rPr>
    </w:lvl>
    <w:lvl w:ilvl="1">
      <w:start w:val="1"/>
      <w:numFmt w:val="decimal"/>
      <w:lvlText w:val="1.%2"/>
      <w:lvlJc w:val="left"/>
      <w:pPr>
        <w:ind w:left="1530" w:hanging="360"/>
      </w:pPr>
      <w:rPr>
        <w:rFonts w:hint="default"/>
        <w:b w:val="0"/>
        <w:i w:val="0"/>
      </w:rPr>
    </w:lvl>
    <w:lvl w:ilvl="2">
      <w:start w:val="1"/>
      <w:numFmt w:val="lowerLetter"/>
      <w:lvlText w:val="%3)"/>
      <w:lvlJc w:val="left"/>
      <w:pPr>
        <w:ind w:left="2160" w:hanging="720"/>
      </w:pPr>
      <w:rPr>
        <w:rFonts w:asciiTheme="minorHAnsi" w:eastAsia="Times New Roman" w:hAnsiTheme="minorHAnsi" w:cstheme="minorHAnsi" w:hint="default"/>
        <w:spacing w:val="-6"/>
        <w:w w:val="99"/>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98C50E0"/>
    <w:multiLevelType w:val="hybridMultilevel"/>
    <w:tmpl w:val="C3D8D4F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7AC247E3"/>
    <w:multiLevelType w:val="hybridMultilevel"/>
    <w:tmpl w:val="1FA44CA4"/>
    <w:lvl w:ilvl="0" w:tplc="04090017">
      <w:start w:val="1"/>
      <w:numFmt w:val="lowerLetter"/>
      <w:lvlText w:val="%1)"/>
      <w:lvlJc w:val="left"/>
      <w:pPr>
        <w:ind w:left="1080" w:hanging="360"/>
      </w:pPr>
    </w:lvl>
    <w:lvl w:ilvl="1" w:tplc="10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842D3F"/>
    <w:multiLevelType w:val="hybridMultilevel"/>
    <w:tmpl w:val="5B1253B8"/>
    <w:lvl w:ilvl="0" w:tplc="CD8630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3"/>
  </w:num>
  <w:num w:numId="4">
    <w:abstractNumId w:val="13"/>
  </w:num>
  <w:num w:numId="5">
    <w:abstractNumId w:val="29"/>
  </w:num>
  <w:num w:numId="6">
    <w:abstractNumId w:val="28"/>
  </w:num>
  <w:num w:numId="7">
    <w:abstractNumId w:val="25"/>
  </w:num>
  <w:num w:numId="8">
    <w:abstractNumId w:val="10"/>
  </w:num>
  <w:num w:numId="9">
    <w:abstractNumId w:val="26"/>
  </w:num>
  <w:num w:numId="10">
    <w:abstractNumId w:val="24"/>
  </w:num>
  <w:num w:numId="11">
    <w:abstractNumId w:val="17"/>
  </w:num>
  <w:num w:numId="12">
    <w:abstractNumId w:val="18"/>
  </w:num>
  <w:num w:numId="13">
    <w:abstractNumId w:val="6"/>
  </w:num>
  <w:num w:numId="14">
    <w:abstractNumId w:val="5"/>
  </w:num>
  <w:num w:numId="15">
    <w:abstractNumId w:val="0"/>
  </w:num>
  <w:num w:numId="16">
    <w:abstractNumId w:val="22"/>
  </w:num>
  <w:num w:numId="17">
    <w:abstractNumId w:val="30"/>
  </w:num>
  <w:num w:numId="18">
    <w:abstractNumId w:val="1"/>
  </w:num>
  <w:num w:numId="19">
    <w:abstractNumId w:val="27"/>
  </w:num>
  <w:num w:numId="20">
    <w:abstractNumId w:val="7"/>
  </w:num>
  <w:num w:numId="21">
    <w:abstractNumId w:val="8"/>
  </w:num>
  <w:num w:numId="22">
    <w:abstractNumId w:val="20"/>
  </w:num>
  <w:num w:numId="23">
    <w:abstractNumId w:val="14"/>
  </w:num>
  <w:num w:numId="24">
    <w:abstractNumId w:val="21"/>
  </w:num>
  <w:num w:numId="25">
    <w:abstractNumId w:val="2"/>
  </w:num>
  <w:num w:numId="26">
    <w:abstractNumId w:val="19"/>
  </w:num>
  <w:num w:numId="27">
    <w:abstractNumId w:val="11"/>
  </w:num>
  <w:num w:numId="28">
    <w:abstractNumId w:val="9"/>
  </w:num>
  <w:num w:numId="29">
    <w:abstractNumId w:val="3"/>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CA"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47"/>
    <w:rsid w:val="00003B8B"/>
    <w:rsid w:val="0001168A"/>
    <w:rsid w:val="00016997"/>
    <w:rsid w:val="00017BC4"/>
    <w:rsid w:val="00024E18"/>
    <w:rsid w:val="0002696C"/>
    <w:rsid w:val="00027F56"/>
    <w:rsid w:val="00043550"/>
    <w:rsid w:val="0006342F"/>
    <w:rsid w:val="000709DF"/>
    <w:rsid w:val="00074B71"/>
    <w:rsid w:val="00083E9A"/>
    <w:rsid w:val="00087B0E"/>
    <w:rsid w:val="00087BE0"/>
    <w:rsid w:val="00091C18"/>
    <w:rsid w:val="00095ADC"/>
    <w:rsid w:val="000B6FD1"/>
    <w:rsid w:val="000C018F"/>
    <w:rsid w:val="000D0FB6"/>
    <w:rsid w:val="000D21BC"/>
    <w:rsid w:val="000D627C"/>
    <w:rsid w:val="000F1EF9"/>
    <w:rsid w:val="000F7E92"/>
    <w:rsid w:val="00103544"/>
    <w:rsid w:val="00105664"/>
    <w:rsid w:val="00121550"/>
    <w:rsid w:val="001302D1"/>
    <w:rsid w:val="001346C1"/>
    <w:rsid w:val="001346F1"/>
    <w:rsid w:val="001451D0"/>
    <w:rsid w:val="001510AF"/>
    <w:rsid w:val="0015267A"/>
    <w:rsid w:val="00173A8B"/>
    <w:rsid w:val="00180F2F"/>
    <w:rsid w:val="001A548F"/>
    <w:rsid w:val="001C0B96"/>
    <w:rsid w:val="001C1470"/>
    <w:rsid w:val="001C2DC3"/>
    <w:rsid w:val="001C3318"/>
    <w:rsid w:val="001E6B6A"/>
    <w:rsid w:val="001E6EC9"/>
    <w:rsid w:val="001F1C5D"/>
    <w:rsid w:val="0021564A"/>
    <w:rsid w:val="002252E1"/>
    <w:rsid w:val="00227265"/>
    <w:rsid w:val="00227F72"/>
    <w:rsid w:val="002356E5"/>
    <w:rsid w:val="002443A2"/>
    <w:rsid w:val="00247A71"/>
    <w:rsid w:val="00262C9A"/>
    <w:rsid w:val="00275094"/>
    <w:rsid w:val="00280533"/>
    <w:rsid w:val="00282419"/>
    <w:rsid w:val="002932B7"/>
    <w:rsid w:val="002B6ED1"/>
    <w:rsid w:val="002C4308"/>
    <w:rsid w:val="002D3B5C"/>
    <w:rsid w:val="002E46C0"/>
    <w:rsid w:val="002E78C7"/>
    <w:rsid w:val="002E7A62"/>
    <w:rsid w:val="003200B7"/>
    <w:rsid w:val="00324615"/>
    <w:rsid w:val="00332350"/>
    <w:rsid w:val="00356CD6"/>
    <w:rsid w:val="00356EA6"/>
    <w:rsid w:val="00377277"/>
    <w:rsid w:val="003865E0"/>
    <w:rsid w:val="003A7978"/>
    <w:rsid w:val="003A7BFD"/>
    <w:rsid w:val="003B48E3"/>
    <w:rsid w:val="003C569B"/>
    <w:rsid w:val="003D3202"/>
    <w:rsid w:val="003D3EC9"/>
    <w:rsid w:val="003F6685"/>
    <w:rsid w:val="0040726C"/>
    <w:rsid w:val="00422F46"/>
    <w:rsid w:val="004267A9"/>
    <w:rsid w:val="004426B9"/>
    <w:rsid w:val="004451F7"/>
    <w:rsid w:val="0044737A"/>
    <w:rsid w:val="00451580"/>
    <w:rsid w:val="00453843"/>
    <w:rsid w:val="00453A53"/>
    <w:rsid w:val="0046248A"/>
    <w:rsid w:val="00473B9C"/>
    <w:rsid w:val="00475797"/>
    <w:rsid w:val="00482284"/>
    <w:rsid w:val="00494200"/>
    <w:rsid w:val="00495802"/>
    <w:rsid w:val="004A6F57"/>
    <w:rsid w:val="004A7DEF"/>
    <w:rsid w:val="004B5C98"/>
    <w:rsid w:val="004B698E"/>
    <w:rsid w:val="004C37F2"/>
    <w:rsid w:val="004C459B"/>
    <w:rsid w:val="004D0848"/>
    <w:rsid w:val="004E141A"/>
    <w:rsid w:val="004E7003"/>
    <w:rsid w:val="004F6797"/>
    <w:rsid w:val="005018F8"/>
    <w:rsid w:val="00503E5A"/>
    <w:rsid w:val="00543530"/>
    <w:rsid w:val="0056536E"/>
    <w:rsid w:val="0056599F"/>
    <w:rsid w:val="00566B36"/>
    <w:rsid w:val="0057035D"/>
    <w:rsid w:val="00574492"/>
    <w:rsid w:val="005772ED"/>
    <w:rsid w:val="0059797E"/>
    <w:rsid w:val="005A1A24"/>
    <w:rsid w:val="005B588A"/>
    <w:rsid w:val="005C6A39"/>
    <w:rsid w:val="005D029D"/>
    <w:rsid w:val="005D0EF2"/>
    <w:rsid w:val="005D5E00"/>
    <w:rsid w:val="005E093F"/>
    <w:rsid w:val="005E4E4E"/>
    <w:rsid w:val="005F2E91"/>
    <w:rsid w:val="005F4CC8"/>
    <w:rsid w:val="00606277"/>
    <w:rsid w:val="00607A4E"/>
    <w:rsid w:val="006116B4"/>
    <w:rsid w:val="00626B44"/>
    <w:rsid w:val="00640472"/>
    <w:rsid w:val="00641C92"/>
    <w:rsid w:val="006555CF"/>
    <w:rsid w:val="006560C1"/>
    <w:rsid w:val="00657047"/>
    <w:rsid w:val="00657952"/>
    <w:rsid w:val="006610FA"/>
    <w:rsid w:val="0067494B"/>
    <w:rsid w:val="00683969"/>
    <w:rsid w:val="006870CD"/>
    <w:rsid w:val="0068739B"/>
    <w:rsid w:val="00695DA7"/>
    <w:rsid w:val="006B20CD"/>
    <w:rsid w:val="006B72A0"/>
    <w:rsid w:val="006C0FF4"/>
    <w:rsid w:val="006D1A4B"/>
    <w:rsid w:val="00700DBA"/>
    <w:rsid w:val="007235BD"/>
    <w:rsid w:val="00735D3C"/>
    <w:rsid w:val="007431D9"/>
    <w:rsid w:val="00753872"/>
    <w:rsid w:val="00762F4B"/>
    <w:rsid w:val="00766ED1"/>
    <w:rsid w:val="00773BB7"/>
    <w:rsid w:val="0077684E"/>
    <w:rsid w:val="00777D42"/>
    <w:rsid w:val="0078282D"/>
    <w:rsid w:val="00783DD5"/>
    <w:rsid w:val="00784437"/>
    <w:rsid w:val="00794B99"/>
    <w:rsid w:val="007970DA"/>
    <w:rsid w:val="007C6414"/>
    <w:rsid w:val="007D7663"/>
    <w:rsid w:val="007E1C8F"/>
    <w:rsid w:val="007F11DF"/>
    <w:rsid w:val="007F1831"/>
    <w:rsid w:val="007F4F95"/>
    <w:rsid w:val="008001BF"/>
    <w:rsid w:val="008054B0"/>
    <w:rsid w:val="00807017"/>
    <w:rsid w:val="008151F9"/>
    <w:rsid w:val="0082164F"/>
    <w:rsid w:val="008226E4"/>
    <w:rsid w:val="00830AB2"/>
    <w:rsid w:val="00843E3B"/>
    <w:rsid w:val="00850323"/>
    <w:rsid w:val="008529BF"/>
    <w:rsid w:val="00861B1A"/>
    <w:rsid w:val="00870BDF"/>
    <w:rsid w:val="00872DF4"/>
    <w:rsid w:val="008756E9"/>
    <w:rsid w:val="00892727"/>
    <w:rsid w:val="00896ABB"/>
    <w:rsid w:val="00897D21"/>
    <w:rsid w:val="008A312B"/>
    <w:rsid w:val="008A653C"/>
    <w:rsid w:val="008B566F"/>
    <w:rsid w:val="008C38D0"/>
    <w:rsid w:val="008C3D5E"/>
    <w:rsid w:val="008C4E0F"/>
    <w:rsid w:val="008E2000"/>
    <w:rsid w:val="008E200B"/>
    <w:rsid w:val="008F0A06"/>
    <w:rsid w:val="008F521B"/>
    <w:rsid w:val="00921C53"/>
    <w:rsid w:val="00925E1A"/>
    <w:rsid w:val="00952F4B"/>
    <w:rsid w:val="009659AE"/>
    <w:rsid w:val="0097327F"/>
    <w:rsid w:val="00986198"/>
    <w:rsid w:val="00992316"/>
    <w:rsid w:val="00997A51"/>
    <w:rsid w:val="009B1761"/>
    <w:rsid w:val="009C266E"/>
    <w:rsid w:val="009D2CBF"/>
    <w:rsid w:val="00A0583D"/>
    <w:rsid w:val="00A20AAB"/>
    <w:rsid w:val="00A2404A"/>
    <w:rsid w:val="00A27C4C"/>
    <w:rsid w:val="00A3050B"/>
    <w:rsid w:val="00A312DD"/>
    <w:rsid w:val="00A32D4D"/>
    <w:rsid w:val="00A43D32"/>
    <w:rsid w:val="00A440E1"/>
    <w:rsid w:val="00A46486"/>
    <w:rsid w:val="00A479AC"/>
    <w:rsid w:val="00A50B7C"/>
    <w:rsid w:val="00A52BA7"/>
    <w:rsid w:val="00A86F29"/>
    <w:rsid w:val="00AA258B"/>
    <w:rsid w:val="00AA5688"/>
    <w:rsid w:val="00AB16A9"/>
    <w:rsid w:val="00AD19BF"/>
    <w:rsid w:val="00AF0BD1"/>
    <w:rsid w:val="00AF25FC"/>
    <w:rsid w:val="00AF3563"/>
    <w:rsid w:val="00AF3F9E"/>
    <w:rsid w:val="00AF4552"/>
    <w:rsid w:val="00AF4B92"/>
    <w:rsid w:val="00B061D6"/>
    <w:rsid w:val="00B12221"/>
    <w:rsid w:val="00B12EB8"/>
    <w:rsid w:val="00B13759"/>
    <w:rsid w:val="00B13D6B"/>
    <w:rsid w:val="00B14E48"/>
    <w:rsid w:val="00B278B3"/>
    <w:rsid w:val="00B34EB5"/>
    <w:rsid w:val="00B42056"/>
    <w:rsid w:val="00B453EE"/>
    <w:rsid w:val="00B674BF"/>
    <w:rsid w:val="00B807FE"/>
    <w:rsid w:val="00B85156"/>
    <w:rsid w:val="00B8517B"/>
    <w:rsid w:val="00B87CD0"/>
    <w:rsid w:val="00B93091"/>
    <w:rsid w:val="00BA18ED"/>
    <w:rsid w:val="00BA4151"/>
    <w:rsid w:val="00BB2072"/>
    <w:rsid w:val="00BD5291"/>
    <w:rsid w:val="00BE148D"/>
    <w:rsid w:val="00BF515A"/>
    <w:rsid w:val="00C01426"/>
    <w:rsid w:val="00C11933"/>
    <w:rsid w:val="00C16E75"/>
    <w:rsid w:val="00C30061"/>
    <w:rsid w:val="00C333AD"/>
    <w:rsid w:val="00C34CB9"/>
    <w:rsid w:val="00C47904"/>
    <w:rsid w:val="00C506AC"/>
    <w:rsid w:val="00C660A5"/>
    <w:rsid w:val="00C83AE7"/>
    <w:rsid w:val="00C91DB8"/>
    <w:rsid w:val="00C96F9B"/>
    <w:rsid w:val="00CA4FE7"/>
    <w:rsid w:val="00CB2F3A"/>
    <w:rsid w:val="00CB5042"/>
    <w:rsid w:val="00CC15AA"/>
    <w:rsid w:val="00CD205C"/>
    <w:rsid w:val="00CD5947"/>
    <w:rsid w:val="00CF4A50"/>
    <w:rsid w:val="00D11E29"/>
    <w:rsid w:val="00D20F63"/>
    <w:rsid w:val="00D31666"/>
    <w:rsid w:val="00D40B0C"/>
    <w:rsid w:val="00D43A75"/>
    <w:rsid w:val="00D5026B"/>
    <w:rsid w:val="00D53FC8"/>
    <w:rsid w:val="00D545AF"/>
    <w:rsid w:val="00D75FD0"/>
    <w:rsid w:val="00D83878"/>
    <w:rsid w:val="00D86906"/>
    <w:rsid w:val="00D913CF"/>
    <w:rsid w:val="00D9695E"/>
    <w:rsid w:val="00DB3419"/>
    <w:rsid w:val="00DB445D"/>
    <w:rsid w:val="00DC0ED8"/>
    <w:rsid w:val="00DD4128"/>
    <w:rsid w:val="00E01192"/>
    <w:rsid w:val="00E10CC6"/>
    <w:rsid w:val="00E33810"/>
    <w:rsid w:val="00E34E02"/>
    <w:rsid w:val="00E35CCB"/>
    <w:rsid w:val="00E44FC0"/>
    <w:rsid w:val="00E45704"/>
    <w:rsid w:val="00E53F23"/>
    <w:rsid w:val="00E6573A"/>
    <w:rsid w:val="00E67F1D"/>
    <w:rsid w:val="00E717FF"/>
    <w:rsid w:val="00E72B79"/>
    <w:rsid w:val="00E80A33"/>
    <w:rsid w:val="00E84B61"/>
    <w:rsid w:val="00E9567E"/>
    <w:rsid w:val="00EB7FD8"/>
    <w:rsid w:val="00EC0BD6"/>
    <w:rsid w:val="00EC48F5"/>
    <w:rsid w:val="00EE02C0"/>
    <w:rsid w:val="00EE0E31"/>
    <w:rsid w:val="00EE5133"/>
    <w:rsid w:val="00EE6B95"/>
    <w:rsid w:val="00F00350"/>
    <w:rsid w:val="00F0472B"/>
    <w:rsid w:val="00F15544"/>
    <w:rsid w:val="00F24317"/>
    <w:rsid w:val="00F30B0F"/>
    <w:rsid w:val="00F4337C"/>
    <w:rsid w:val="00F435AB"/>
    <w:rsid w:val="00F521FD"/>
    <w:rsid w:val="00F550E9"/>
    <w:rsid w:val="00F95900"/>
    <w:rsid w:val="00F95960"/>
    <w:rsid w:val="00FA2FBD"/>
    <w:rsid w:val="00FA3446"/>
    <w:rsid w:val="00FC1562"/>
    <w:rsid w:val="00FC4172"/>
    <w:rsid w:val="00FE3942"/>
    <w:rsid w:val="00FE5AD2"/>
    <w:rsid w:val="00FE772E"/>
    <w:rsid w:val="24945CBC"/>
    <w:rsid w:val="78A7015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B56198"/>
  <w15:docId w15:val="{3DD58612-7A96-9849-9A7D-DCBBCAEC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 Copy"/>
    <w:qFormat/>
    <w:rsid w:val="001C0B96"/>
    <w:pPr>
      <w:suppressAutoHyphens/>
      <w:autoSpaceDE w:val="0"/>
      <w:autoSpaceDN w:val="0"/>
      <w:adjustRightInd w:val="0"/>
      <w:spacing w:after="240" w:line="288" w:lineRule="auto"/>
      <w:textAlignment w:val="center"/>
    </w:pPr>
    <w:rPr>
      <w:rFonts w:ascii="Calibri" w:eastAsiaTheme="minorHAnsi" w:hAnsi="Calibri" w:cs="Calibri"/>
      <w:color w:val="000000" w:themeColor="text1"/>
      <w:sz w:val="22"/>
      <w:szCs w:val="22"/>
    </w:rPr>
  </w:style>
  <w:style w:type="paragraph" w:styleId="Heading1">
    <w:name w:val="heading 1"/>
    <w:qFormat/>
    <w:rsid w:val="00FC1562"/>
    <w:pPr>
      <w:keepNext/>
      <w:spacing w:before="300" w:after="100"/>
      <w:outlineLvl w:val="0"/>
    </w:pPr>
    <w:rPr>
      <w:rFonts w:asciiTheme="minorHAnsi" w:hAnsiTheme="minorHAnsi"/>
      <w:b/>
      <w:color w:val="000000" w:themeColor="text1"/>
      <w:sz w:val="36"/>
      <w:lang w:val="en-GB"/>
    </w:rPr>
  </w:style>
  <w:style w:type="paragraph" w:styleId="Heading2">
    <w:name w:val="heading 2"/>
    <w:basedOn w:val="Normal"/>
    <w:next w:val="Normal"/>
    <w:autoRedefine/>
    <w:qFormat/>
    <w:rsid w:val="00227F72"/>
    <w:pPr>
      <w:keepNext/>
      <w:tabs>
        <w:tab w:val="left" w:pos="2520"/>
      </w:tabs>
      <w:spacing w:after="120"/>
      <w:outlineLvl w:val="1"/>
    </w:pPr>
    <w:rPr>
      <w:b/>
      <w:sz w:val="32"/>
    </w:rPr>
  </w:style>
  <w:style w:type="paragraph" w:styleId="Heading3">
    <w:name w:val="heading 3"/>
    <w:basedOn w:val="Normal"/>
    <w:next w:val="Normal"/>
    <w:autoRedefine/>
    <w:qFormat/>
    <w:rsid w:val="004B698E"/>
    <w:pPr>
      <w:keepNext/>
      <w:outlineLvl w:val="2"/>
    </w:pPr>
    <w:rPr>
      <w:rFonts w:cs="Arial"/>
      <w:b/>
      <w:bCs/>
      <w:sz w:val="28"/>
      <w:szCs w:val="26"/>
    </w:rPr>
  </w:style>
  <w:style w:type="paragraph" w:styleId="Heading4">
    <w:name w:val="heading 4"/>
    <w:basedOn w:val="Normal"/>
    <w:next w:val="Normal"/>
    <w:link w:val="Heading4Char"/>
    <w:autoRedefine/>
    <w:unhideWhenUsed/>
    <w:qFormat/>
    <w:rsid w:val="00227F72"/>
    <w:pPr>
      <w:keepNext/>
      <w:keepLines/>
      <w:spacing w:before="40" w:after="0"/>
      <w:outlineLvl w:val="3"/>
    </w:pPr>
    <w:rPr>
      <w:rFonts w:asciiTheme="majorHAnsi" w:eastAsiaTheme="majorEastAsia" w:hAnsiTheme="majorHAnsi" w:cstheme="majorBidi"/>
      <w:iCs/>
      <w:sz w:val="24"/>
    </w:rPr>
  </w:style>
  <w:style w:type="paragraph" w:styleId="Heading5">
    <w:name w:val="heading 5"/>
    <w:basedOn w:val="Normal"/>
    <w:next w:val="Normal"/>
    <w:link w:val="Heading5Char"/>
    <w:unhideWhenUsed/>
    <w:qFormat/>
    <w:rsid w:val="00227F72"/>
    <w:pPr>
      <w:keepNext/>
      <w:keepLines/>
      <w:spacing w:before="40" w:after="0"/>
      <w:outlineLvl w:val="4"/>
    </w:pPr>
    <w:rPr>
      <w:rFonts w:asciiTheme="majorHAnsi" w:eastAsiaTheme="majorEastAsia" w:hAnsiTheme="majorHAnsi" w:cstheme="majorBidi"/>
      <w:b/>
      <w:color w:val="595959" w:themeColor="text1" w:themeTint="A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Strong">
    <w:name w:val="Strong"/>
    <w:rsid w:val="006870CD"/>
    <w:rPr>
      <w:b/>
      <w:bCs/>
    </w:rPr>
  </w:style>
  <w:style w:type="paragraph" w:customStyle="1" w:styleId="ColorfulList-Accent11">
    <w:name w:val="Colorful List - Accent 11"/>
    <w:basedOn w:val="Normal"/>
    <w:uiPriority w:val="34"/>
    <w:rsid w:val="00377277"/>
    <w:pPr>
      <w:ind w:left="720"/>
      <w:contextualSpacing/>
    </w:pPr>
    <w:rPr>
      <w:rFonts w:ascii="Tahoma" w:hAnsi="Tahoma"/>
      <w:b/>
      <w:szCs w:val="24"/>
      <w:lang w:val="en-US"/>
    </w:rPr>
  </w:style>
  <w:style w:type="character" w:styleId="FollowedHyperlink">
    <w:name w:val="FollowedHyperlink"/>
    <w:rsid w:val="00A50B7C"/>
    <w:rPr>
      <w:color w:val="800080"/>
      <w:u w:val="single"/>
    </w:rPr>
  </w:style>
  <w:style w:type="paragraph" w:customStyle="1" w:styleId="Subhead">
    <w:name w:val="Sub head"/>
    <w:autoRedefine/>
    <w:qFormat/>
    <w:rsid w:val="00FC1562"/>
    <w:pPr>
      <w:spacing w:before="360" w:after="120"/>
    </w:pPr>
    <w:rPr>
      <w:rFonts w:asciiTheme="minorHAnsi" w:hAnsiTheme="minorHAnsi" w:cs="Open Sans"/>
      <w:b/>
      <w:color w:val="000000" w:themeColor="text1"/>
      <w:sz w:val="24"/>
      <w:szCs w:val="24"/>
    </w:rPr>
  </w:style>
  <w:style w:type="paragraph" w:styleId="NormalWeb">
    <w:name w:val="Normal (Web)"/>
    <w:basedOn w:val="Normal"/>
    <w:uiPriority w:val="99"/>
    <w:unhideWhenUsed/>
    <w:rsid w:val="005D029D"/>
    <w:pPr>
      <w:spacing w:before="100" w:beforeAutospacing="1" w:after="100" w:afterAutospacing="1" w:line="240" w:lineRule="auto"/>
    </w:pPr>
    <w:rPr>
      <w:rFonts w:ascii="Times New Roman" w:hAnsi="Times New Roman"/>
      <w:sz w:val="24"/>
      <w:szCs w:val="24"/>
    </w:rPr>
  </w:style>
  <w:style w:type="paragraph" w:styleId="BlockText">
    <w:name w:val="Block Text"/>
    <w:basedOn w:val="Normal"/>
    <w:rsid w:val="00AD19B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character" w:styleId="Emphasis">
    <w:name w:val="Emphasis"/>
    <w:basedOn w:val="DefaultParagraphFont"/>
    <w:rsid w:val="005F4CC8"/>
    <w:rPr>
      <w:i/>
      <w:iCs/>
    </w:rPr>
  </w:style>
  <w:style w:type="character" w:customStyle="1" w:styleId="UnresolvedMention1">
    <w:name w:val="Unresolved Mention1"/>
    <w:basedOn w:val="DefaultParagraphFont"/>
    <w:uiPriority w:val="99"/>
    <w:semiHidden/>
    <w:unhideWhenUsed/>
    <w:rsid w:val="00E717FF"/>
    <w:rPr>
      <w:color w:val="605E5C"/>
      <w:shd w:val="clear" w:color="auto" w:fill="E1DFDD"/>
    </w:rPr>
  </w:style>
  <w:style w:type="character" w:customStyle="1" w:styleId="apple-converted-space">
    <w:name w:val="apple-converted-space"/>
    <w:basedOn w:val="DefaultParagraphFont"/>
    <w:rsid w:val="00E717FF"/>
  </w:style>
  <w:style w:type="paragraph" w:styleId="ListParagraph">
    <w:name w:val="List Paragraph"/>
    <w:basedOn w:val="Normal"/>
    <w:qFormat/>
    <w:rsid w:val="00E84B61"/>
    <w:pPr>
      <w:ind w:left="720"/>
      <w:contextualSpacing/>
    </w:pPr>
  </w:style>
  <w:style w:type="paragraph" w:styleId="Title">
    <w:name w:val="Title"/>
    <w:basedOn w:val="Normal"/>
    <w:next w:val="Normal"/>
    <w:link w:val="TitleChar"/>
    <w:rsid w:val="00830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30AB2"/>
    <w:rPr>
      <w:rFonts w:asciiTheme="majorHAnsi" w:eastAsiaTheme="majorEastAsia" w:hAnsiTheme="majorHAnsi" w:cstheme="majorBidi"/>
      <w:spacing w:val="-10"/>
      <w:kern w:val="28"/>
      <w:sz w:val="56"/>
      <w:szCs w:val="56"/>
      <w:lang w:val="en-GB"/>
    </w:rPr>
  </w:style>
  <w:style w:type="paragraph" w:customStyle="1" w:styleId="BasicParagraph">
    <w:name w:val="[Basic Paragraph]"/>
    <w:basedOn w:val="Normal"/>
    <w:uiPriority w:val="99"/>
    <w:rsid w:val="003F6685"/>
    <w:pPr>
      <w:spacing w:after="0"/>
    </w:pPr>
    <w:rPr>
      <w:rFonts w:ascii="Arial" w:hAnsi="Arial" w:cs="MinionPro-Regular"/>
      <w:szCs w:val="24"/>
      <w:lang w:val="en-US"/>
    </w:rPr>
  </w:style>
  <w:style w:type="character" w:customStyle="1" w:styleId="HeaderChar">
    <w:name w:val="Header Char"/>
    <w:basedOn w:val="DefaultParagraphFont"/>
    <w:link w:val="Header"/>
    <w:uiPriority w:val="99"/>
    <w:rsid w:val="003F6685"/>
    <w:rPr>
      <w:rFonts w:asciiTheme="minorHAnsi" w:hAnsiTheme="minorHAnsi"/>
      <w:lang w:val="en-GB"/>
    </w:rPr>
  </w:style>
  <w:style w:type="paragraph" w:styleId="NoSpacing">
    <w:name w:val="No Spacing"/>
    <w:uiPriority w:val="1"/>
    <w:rsid w:val="003F6685"/>
    <w:rPr>
      <w:rFonts w:asciiTheme="minorHAnsi" w:eastAsiaTheme="minorEastAsia" w:hAnsiTheme="minorHAnsi" w:cstheme="minorBidi"/>
      <w:sz w:val="22"/>
      <w:szCs w:val="22"/>
      <w:lang w:val="en-US" w:eastAsia="zh-CN"/>
    </w:rPr>
  </w:style>
  <w:style w:type="character" w:customStyle="1" w:styleId="Heading4Char">
    <w:name w:val="Heading 4 Char"/>
    <w:basedOn w:val="DefaultParagraphFont"/>
    <w:link w:val="Heading4"/>
    <w:rsid w:val="00227F72"/>
    <w:rPr>
      <w:rFonts w:asciiTheme="majorHAnsi" w:eastAsiaTheme="majorEastAsia" w:hAnsiTheme="majorHAnsi" w:cstheme="majorBidi"/>
      <w:iCs/>
      <w:color w:val="000000" w:themeColor="text1"/>
      <w:sz w:val="24"/>
      <w:szCs w:val="22"/>
    </w:rPr>
  </w:style>
  <w:style w:type="character" w:customStyle="1" w:styleId="Heading5Char">
    <w:name w:val="Heading 5 Char"/>
    <w:basedOn w:val="DefaultParagraphFont"/>
    <w:link w:val="Heading5"/>
    <w:rsid w:val="00227F72"/>
    <w:rPr>
      <w:rFonts w:asciiTheme="majorHAnsi" w:eastAsiaTheme="majorEastAsia" w:hAnsiTheme="majorHAnsi" w:cstheme="majorBidi"/>
      <w:b/>
      <w:color w:val="595959" w:themeColor="text1" w:themeTint="A6"/>
      <w:szCs w:val="22"/>
    </w:rPr>
  </w:style>
  <w:style w:type="paragraph" w:customStyle="1" w:styleId="IntroText">
    <w:name w:val="Intro Text"/>
    <w:basedOn w:val="Normal"/>
    <w:qFormat/>
    <w:rsid w:val="00640472"/>
    <w:pPr>
      <w:suppressAutoHyphens w:val="0"/>
      <w:autoSpaceDE/>
      <w:autoSpaceDN/>
      <w:adjustRightInd/>
      <w:spacing w:after="400" w:line="240" w:lineRule="auto"/>
      <w:textAlignment w:val="auto"/>
    </w:pPr>
    <w:rPr>
      <w:rFonts w:eastAsiaTheme="minorEastAsia"/>
      <w:color w:val="66676A"/>
      <w:sz w:val="36"/>
      <w:szCs w:val="28"/>
      <w:lang w:val="en-US" w:eastAsia="ja-JP"/>
    </w:rPr>
  </w:style>
  <w:style w:type="table" w:styleId="TableGrid">
    <w:name w:val="Table Grid"/>
    <w:basedOn w:val="TableNormal"/>
    <w:rsid w:val="00C9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1594">
      <w:bodyDiv w:val="1"/>
      <w:marLeft w:val="0"/>
      <w:marRight w:val="0"/>
      <w:marTop w:val="0"/>
      <w:marBottom w:val="0"/>
      <w:divBdr>
        <w:top w:val="none" w:sz="0" w:space="0" w:color="auto"/>
        <w:left w:val="none" w:sz="0" w:space="0" w:color="auto"/>
        <w:bottom w:val="none" w:sz="0" w:space="0" w:color="auto"/>
        <w:right w:val="none" w:sz="0" w:space="0" w:color="auto"/>
      </w:divBdr>
    </w:div>
    <w:div w:id="128593016">
      <w:bodyDiv w:val="1"/>
      <w:marLeft w:val="0"/>
      <w:marRight w:val="0"/>
      <w:marTop w:val="0"/>
      <w:marBottom w:val="0"/>
      <w:divBdr>
        <w:top w:val="none" w:sz="0" w:space="0" w:color="auto"/>
        <w:left w:val="none" w:sz="0" w:space="0" w:color="auto"/>
        <w:bottom w:val="none" w:sz="0" w:space="0" w:color="auto"/>
        <w:right w:val="none" w:sz="0" w:space="0" w:color="auto"/>
      </w:divBdr>
    </w:div>
    <w:div w:id="348458960">
      <w:bodyDiv w:val="1"/>
      <w:marLeft w:val="0"/>
      <w:marRight w:val="0"/>
      <w:marTop w:val="0"/>
      <w:marBottom w:val="0"/>
      <w:divBdr>
        <w:top w:val="none" w:sz="0" w:space="0" w:color="auto"/>
        <w:left w:val="none" w:sz="0" w:space="0" w:color="auto"/>
        <w:bottom w:val="none" w:sz="0" w:space="0" w:color="auto"/>
        <w:right w:val="none" w:sz="0" w:space="0" w:color="auto"/>
      </w:divBdr>
    </w:div>
    <w:div w:id="432676671">
      <w:bodyDiv w:val="1"/>
      <w:marLeft w:val="0"/>
      <w:marRight w:val="0"/>
      <w:marTop w:val="0"/>
      <w:marBottom w:val="0"/>
      <w:divBdr>
        <w:top w:val="none" w:sz="0" w:space="0" w:color="auto"/>
        <w:left w:val="none" w:sz="0" w:space="0" w:color="auto"/>
        <w:bottom w:val="none" w:sz="0" w:space="0" w:color="auto"/>
        <w:right w:val="none" w:sz="0" w:space="0" w:color="auto"/>
      </w:divBdr>
    </w:div>
    <w:div w:id="621036932">
      <w:bodyDiv w:val="1"/>
      <w:marLeft w:val="0"/>
      <w:marRight w:val="0"/>
      <w:marTop w:val="0"/>
      <w:marBottom w:val="0"/>
      <w:divBdr>
        <w:top w:val="none" w:sz="0" w:space="0" w:color="auto"/>
        <w:left w:val="none" w:sz="0" w:space="0" w:color="auto"/>
        <w:bottom w:val="none" w:sz="0" w:space="0" w:color="auto"/>
        <w:right w:val="none" w:sz="0" w:space="0" w:color="auto"/>
      </w:divBdr>
    </w:div>
    <w:div w:id="698968093">
      <w:bodyDiv w:val="1"/>
      <w:marLeft w:val="0"/>
      <w:marRight w:val="0"/>
      <w:marTop w:val="0"/>
      <w:marBottom w:val="0"/>
      <w:divBdr>
        <w:top w:val="none" w:sz="0" w:space="0" w:color="auto"/>
        <w:left w:val="none" w:sz="0" w:space="0" w:color="auto"/>
        <w:bottom w:val="none" w:sz="0" w:space="0" w:color="auto"/>
        <w:right w:val="none" w:sz="0" w:space="0" w:color="auto"/>
      </w:divBdr>
    </w:div>
    <w:div w:id="912197092">
      <w:bodyDiv w:val="1"/>
      <w:marLeft w:val="0"/>
      <w:marRight w:val="0"/>
      <w:marTop w:val="0"/>
      <w:marBottom w:val="0"/>
      <w:divBdr>
        <w:top w:val="none" w:sz="0" w:space="0" w:color="auto"/>
        <w:left w:val="none" w:sz="0" w:space="0" w:color="auto"/>
        <w:bottom w:val="none" w:sz="0" w:space="0" w:color="auto"/>
        <w:right w:val="none" w:sz="0" w:space="0" w:color="auto"/>
      </w:divBdr>
    </w:div>
    <w:div w:id="972061724">
      <w:bodyDiv w:val="1"/>
      <w:marLeft w:val="0"/>
      <w:marRight w:val="0"/>
      <w:marTop w:val="0"/>
      <w:marBottom w:val="0"/>
      <w:divBdr>
        <w:top w:val="none" w:sz="0" w:space="0" w:color="auto"/>
        <w:left w:val="none" w:sz="0" w:space="0" w:color="auto"/>
        <w:bottom w:val="none" w:sz="0" w:space="0" w:color="auto"/>
        <w:right w:val="none" w:sz="0" w:space="0" w:color="auto"/>
      </w:divBdr>
    </w:div>
    <w:div w:id="983585389">
      <w:bodyDiv w:val="1"/>
      <w:marLeft w:val="0"/>
      <w:marRight w:val="0"/>
      <w:marTop w:val="0"/>
      <w:marBottom w:val="0"/>
      <w:divBdr>
        <w:top w:val="none" w:sz="0" w:space="0" w:color="auto"/>
        <w:left w:val="none" w:sz="0" w:space="0" w:color="auto"/>
        <w:bottom w:val="none" w:sz="0" w:space="0" w:color="auto"/>
        <w:right w:val="none" w:sz="0" w:space="0" w:color="auto"/>
      </w:divBdr>
    </w:div>
    <w:div w:id="1019892259">
      <w:bodyDiv w:val="1"/>
      <w:marLeft w:val="0"/>
      <w:marRight w:val="0"/>
      <w:marTop w:val="0"/>
      <w:marBottom w:val="0"/>
      <w:divBdr>
        <w:top w:val="none" w:sz="0" w:space="0" w:color="auto"/>
        <w:left w:val="none" w:sz="0" w:space="0" w:color="auto"/>
        <w:bottom w:val="none" w:sz="0" w:space="0" w:color="auto"/>
        <w:right w:val="none" w:sz="0" w:space="0" w:color="auto"/>
      </w:divBdr>
    </w:div>
    <w:div w:id="1034772516">
      <w:bodyDiv w:val="1"/>
      <w:marLeft w:val="0"/>
      <w:marRight w:val="0"/>
      <w:marTop w:val="0"/>
      <w:marBottom w:val="0"/>
      <w:divBdr>
        <w:top w:val="none" w:sz="0" w:space="0" w:color="auto"/>
        <w:left w:val="none" w:sz="0" w:space="0" w:color="auto"/>
        <w:bottom w:val="none" w:sz="0" w:space="0" w:color="auto"/>
        <w:right w:val="none" w:sz="0" w:space="0" w:color="auto"/>
      </w:divBdr>
    </w:div>
    <w:div w:id="1154177098">
      <w:bodyDiv w:val="1"/>
      <w:marLeft w:val="0"/>
      <w:marRight w:val="0"/>
      <w:marTop w:val="0"/>
      <w:marBottom w:val="0"/>
      <w:divBdr>
        <w:top w:val="none" w:sz="0" w:space="0" w:color="auto"/>
        <w:left w:val="none" w:sz="0" w:space="0" w:color="auto"/>
        <w:bottom w:val="none" w:sz="0" w:space="0" w:color="auto"/>
        <w:right w:val="none" w:sz="0" w:space="0" w:color="auto"/>
      </w:divBdr>
    </w:div>
    <w:div w:id="1361980250">
      <w:bodyDiv w:val="1"/>
      <w:marLeft w:val="0"/>
      <w:marRight w:val="0"/>
      <w:marTop w:val="0"/>
      <w:marBottom w:val="0"/>
      <w:divBdr>
        <w:top w:val="none" w:sz="0" w:space="0" w:color="auto"/>
        <w:left w:val="none" w:sz="0" w:space="0" w:color="auto"/>
        <w:bottom w:val="none" w:sz="0" w:space="0" w:color="auto"/>
        <w:right w:val="none" w:sz="0" w:space="0" w:color="auto"/>
      </w:divBdr>
    </w:div>
    <w:div w:id="1443111070">
      <w:bodyDiv w:val="1"/>
      <w:marLeft w:val="0"/>
      <w:marRight w:val="0"/>
      <w:marTop w:val="0"/>
      <w:marBottom w:val="0"/>
      <w:divBdr>
        <w:top w:val="none" w:sz="0" w:space="0" w:color="auto"/>
        <w:left w:val="none" w:sz="0" w:space="0" w:color="auto"/>
        <w:bottom w:val="none" w:sz="0" w:space="0" w:color="auto"/>
        <w:right w:val="none" w:sz="0" w:space="0" w:color="auto"/>
      </w:divBdr>
    </w:div>
    <w:div w:id="1826359422">
      <w:bodyDiv w:val="1"/>
      <w:marLeft w:val="0"/>
      <w:marRight w:val="0"/>
      <w:marTop w:val="0"/>
      <w:marBottom w:val="0"/>
      <w:divBdr>
        <w:top w:val="none" w:sz="0" w:space="0" w:color="auto"/>
        <w:left w:val="none" w:sz="0" w:space="0" w:color="auto"/>
        <w:bottom w:val="none" w:sz="0" w:space="0" w:color="auto"/>
        <w:right w:val="none" w:sz="0" w:space="0" w:color="auto"/>
      </w:divBdr>
    </w:div>
    <w:div w:id="1980987044">
      <w:bodyDiv w:val="1"/>
      <w:marLeft w:val="0"/>
      <w:marRight w:val="0"/>
      <w:marTop w:val="0"/>
      <w:marBottom w:val="0"/>
      <w:divBdr>
        <w:top w:val="none" w:sz="0" w:space="0" w:color="auto"/>
        <w:left w:val="none" w:sz="0" w:space="0" w:color="auto"/>
        <w:bottom w:val="none" w:sz="0" w:space="0" w:color="auto"/>
        <w:right w:val="none" w:sz="0" w:space="0" w:color="auto"/>
      </w:divBdr>
    </w:div>
    <w:div w:id="2077967919">
      <w:bodyDiv w:val="1"/>
      <w:marLeft w:val="0"/>
      <w:marRight w:val="0"/>
      <w:marTop w:val="0"/>
      <w:marBottom w:val="0"/>
      <w:divBdr>
        <w:top w:val="none" w:sz="0" w:space="0" w:color="auto"/>
        <w:left w:val="none" w:sz="0" w:space="0" w:color="auto"/>
        <w:bottom w:val="none" w:sz="0" w:space="0" w:color="auto"/>
        <w:right w:val="none" w:sz="0" w:space="0" w:color="auto"/>
      </w:divBdr>
    </w:div>
    <w:div w:id="208556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71cc50-3799-4d17-bb7d-4197d8a41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39DCF51CC7D541A0196979561BEBC8" ma:contentTypeVersion="6" ma:contentTypeDescription="Create a new document." ma:contentTypeScope="" ma:versionID="ddc479c7e48a213f81c21414fbb27423">
  <xsd:schema xmlns:xsd="http://www.w3.org/2001/XMLSchema" xmlns:xs="http://www.w3.org/2001/XMLSchema" xmlns:p="http://schemas.microsoft.com/office/2006/metadata/properties" xmlns:ns2="2b71cc50-3799-4d17-bb7d-4197d8a41e5d" xmlns:ns3="61275a2e-1bea-4666-aa29-2be3c4adf48f" targetNamespace="http://schemas.microsoft.com/office/2006/metadata/properties" ma:root="true" ma:fieldsID="b8a4f86c799c6b317728f61bb5ea5bdf" ns2:_="" ns3:_="">
    <xsd:import namespace="2b71cc50-3799-4d17-bb7d-4197d8a41e5d"/>
    <xsd:import namespace="61275a2e-1bea-4666-aa29-2be3c4adf4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ategor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cc50-3799-4d17-bb7d-4197d8a41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ategory" ma:index="11" nillable="true" ma:displayName="Category" ma:format="Dropdown" ma:internalName="Category">
      <xsd:simpleType>
        <xsd:restriction base="dms:Choice">
          <xsd:enumeration value="DSC"/>
        </xsd:restriction>
      </xsd:simpleType>
    </xsd:element>
  </xsd:schema>
  <xsd:schema xmlns:xsd="http://www.w3.org/2001/XMLSchema" xmlns:xs="http://www.w3.org/2001/XMLSchema" xmlns:dms="http://schemas.microsoft.com/office/2006/documentManagement/types" xmlns:pc="http://schemas.microsoft.com/office/infopath/2007/PartnerControls" targetNamespace="61275a2e-1bea-4666-aa29-2be3c4adf4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43353-915C-4950-A514-2497218E92CA}">
  <ds:schemaRefs>
    <ds:schemaRef ds:uri="http://schemas.microsoft.com/sharepoint/v3/contenttype/forms"/>
  </ds:schemaRefs>
</ds:datastoreItem>
</file>

<file path=customXml/itemProps2.xml><?xml version="1.0" encoding="utf-8"?>
<ds:datastoreItem xmlns:ds="http://schemas.openxmlformats.org/officeDocument/2006/customXml" ds:itemID="{4D40BE96-C6A6-4F20-82E0-9EBB181A62C2}">
  <ds:schemaRefs>
    <ds:schemaRef ds:uri="http://schemas.microsoft.com/office/2006/metadata/properties"/>
    <ds:schemaRef ds:uri="http://schemas.microsoft.com/office/infopath/2007/PartnerControls"/>
    <ds:schemaRef ds:uri="2b71cc50-3799-4d17-bb7d-4197d8a41e5d"/>
  </ds:schemaRefs>
</ds:datastoreItem>
</file>

<file path=customXml/itemProps3.xml><?xml version="1.0" encoding="utf-8"?>
<ds:datastoreItem xmlns:ds="http://schemas.openxmlformats.org/officeDocument/2006/customXml" ds:itemID="{876D0A08-2C42-40E3-941F-19E60432B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cc50-3799-4d17-bb7d-4197d8a41e5d"/>
    <ds:schemaRef ds:uri="61275a2e-1bea-4666-aa29-2be3c4adf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FEB61-13CB-4C23-BD20-2EA731F38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Ontario Health (Cancer Care Ontario)</vt:lpstr>
    </vt:vector>
  </TitlesOfParts>
  <Manager>Sylvia Tello</Manager>
  <Company>SSHA</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Health (Cancer Care Ontario)</dc:title>
  <dc:subject>SSHA00062</dc:subject>
  <dc:creator>jmodica</dc:creator>
  <cp:keywords>Letterhead Template</cp:keywords>
  <cp:lastModifiedBy>Heather Gillespie</cp:lastModifiedBy>
  <cp:revision>2</cp:revision>
  <cp:lastPrinted>2019-12-03T16:45:00Z</cp:lastPrinted>
  <dcterms:created xsi:type="dcterms:W3CDTF">2023-12-20T15:15:00Z</dcterms:created>
  <dcterms:modified xsi:type="dcterms:W3CDTF">2023-12-20T15:15:00Z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cc0bd72a670c3df21bd1faeca9df4f951e0579c2bf2e2a22e05983e09ed9e22d</vt:lpwstr>
  </property>
  <property fmtid="{D5CDD505-2E9C-101B-9397-08002B2CF9AE}" pid="3" name="ContentTypeId">
    <vt:lpwstr>0x0101004539DCF51CC7D541A0196979561BEBC8</vt:lpwstr>
  </property>
</Properties>
</file>